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77" w:rsidRPr="00021874" w:rsidRDefault="00CB0335" w:rsidP="00622977">
      <w:pPr>
        <w:jc w:val="right"/>
        <w:rPr>
          <w:b/>
          <w:i/>
        </w:rPr>
      </w:pPr>
      <w:r w:rsidRPr="00021874">
        <w:rPr>
          <w:b/>
          <w:i/>
        </w:rPr>
        <w:t>Approved</w:t>
      </w:r>
      <w:r w:rsidR="00622977" w:rsidRPr="00021874">
        <w:rPr>
          <w:b/>
          <w:i/>
        </w:rPr>
        <w:t xml:space="preserve"> </w:t>
      </w:r>
    </w:p>
    <w:p w:rsidR="00CB0335" w:rsidRPr="00021874" w:rsidRDefault="00CB0335" w:rsidP="00622977">
      <w:pPr>
        <w:jc w:val="right"/>
        <w:rPr>
          <w:i/>
        </w:rPr>
      </w:pPr>
      <w:r w:rsidRPr="00021874">
        <w:rPr>
          <w:i/>
        </w:rPr>
        <w:t xml:space="preserve">Chairman of the Commission </w:t>
      </w:r>
    </w:p>
    <w:p w:rsidR="00CB0335" w:rsidRPr="00021874" w:rsidRDefault="00CB0335" w:rsidP="00622977">
      <w:pPr>
        <w:jc w:val="right"/>
        <w:rPr>
          <w:i/>
        </w:rPr>
      </w:pPr>
      <w:r w:rsidRPr="00021874">
        <w:rPr>
          <w:i/>
        </w:rPr>
        <w:t xml:space="preserve">Procurement Commission </w:t>
      </w:r>
    </w:p>
    <w:p w:rsidR="00CB0335" w:rsidRPr="00021874" w:rsidRDefault="007C1A4B" w:rsidP="00622977">
      <w:pPr>
        <w:jc w:val="right"/>
        <w:rPr>
          <w:i/>
        </w:rPr>
      </w:pPr>
      <w:r>
        <w:rPr>
          <w:i/>
        </w:rPr>
        <w:t>meeting of 7</w:t>
      </w:r>
      <w:r w:rsidR="00CB0335" w:rsidRPr="00021874">
        <w:rPr>
          <w:i/>
        </w:rPr>
        <w:t xml:space="preserve"> September 2018</w:t>
      </w:r>
      <w:r w:rsidR="00021874">
        <w:rPr>
          <w:i/>
        </w:rPr>
        <w:t>,</w:t>
      </w:r>
      <w:r w:rsidR="00CB0335" w:rsidRPr="00021874">
        <w:rPr>
          <w:i/>
        </w:rPr>
        <w:t xml:space="preserve"> </w:t>
      </w:r>
    </w:p>
    <w:p w:rsidR="00CB0335" w:rsidRPr="00021874" w:rsidRDefault="00CB0335" w:rsidP="00622977">
      <w:pPr>
        <w:jc w:val="right"/>
        <w:rPr>
          <w:i/>
        </w:rPr>
      </w:pPr>
      <w:r w:rsidRPr="00021874">
        <w:rPr>
          <w:i/>
        </w:rPr>
        <w:t xml:space="preserve">Minutes No.1.- LNO 2018/13 </w:t>
      </w:r>
    </w:p>
    <w:p w:rsidR="00622977" w:rsidRPr="00021874" w:rsidRDefault="00622977" w:rsidP="00622977">
      <w:pPr>
        <w:jc w:val="right"/>
        <w:rPr>
          <w:i/>
        </w:rPr>
      </w:pPr>
      <w:r w:rsidRPr="00021874">
        <w:rPr>
          <w:i/>
        </w:rPr>
        <w:t>_____________</w:t>
      </w:r>
    </w:p>
    <w:p w:rsidR="00622977" w:rsidRPr="00021874" w:rsidRDefault="00622977" w:rsidP="00622977">
      <w:pPr>
        <w:jc w:val="right"/>
        <w:rPr>
          <w:i/>
        </w:rPr>
      </w:pPr>
      <w:r w:rsidRPr="00021874">
        <w:rPr>
          <w:i/>
        </w:rPr>
        <w:t>Dace Rungēvica</w:t>
      </w:r>
    </w:p>
    <w:p w:rsidR="000558B2" w:rsidRPr="00021874" w:rsidRDefault="000558B2" w:rsidP="00467EEF">
      <w:pPr>
        <w:ind w:right="-766"/>
        <w:jc w:val="both"/>
      </w:pPr>
    </w:p>
    <w:p w:rsidR="00622977" w:rsidRPr="00021874" w:rsidRDefault="00014868" w:rsidP="00622977">
      <w:pPr>
        <w:jc w:val="center"/>
        <w:rPr>
          <w:b/>
        </w:rPr>
      </w:pPr>
      <w:r w:rsidRPr="00021874">
        <w:rPr>
          <w:b/>
        </w:rPr>
        <w:t>PROCUREMENT REGULATION</w:t>
      </w:r>
      <w:r w:rsidR="00D2328C" w:rsidRPr="00021874">
        <w:rPr>
          <w:b/>
        </w:rPr>
        <w:t>S</w:t>
      </w:r>
    </w:p>
    <w:p w:rsidR="00622977" w:rsidRPr="00021874" w:rsidRDefault="00084F3E" w:rsidP="00622977">
      <w:pPr>
        <w:jc w:val="center"/>
      </w:pPr>
      <w:r>
        <w:t>for the</w:t>
      </w:r>
    </w:p>
    <w:p w:rsidR="00622977" w:rsidRPr="00021874" w:rsidRDefault="00622977" w:rsidP="00622977">
      <w:pPr>
        <w:jc w:val="center"/>
      </w:pPr>
      <w:r w:rsidRPr="00021874">
        <w:t>"</w:t>
      </w:r>
      <w:r w:rsidR="00014868" w:rsidRPr="00021874">
        <w:t xml:space="preserve">Procurement of a 5-string </w:t>
      </w:r>
      <w:r w:rsidR="006B099F" w:rsidRPr="00021874">
        <w:t>double bass</w:t>
      </w:r>
      <w:r w:rsidR="00014868" w:rsidRPr="00021874">
        <w:t xml:space="preserve"> for the needs of the Latvian National Opera and Ballet" </w:t>
      </w:r>
    </w:p>
    <w:p w:rsidR="000558B2" w:rsidRPr="00021874" w:rsidRDefault="000558B2" w:rsidP="00467EEF">
      <w:pPr>
        <w:ind w:right="-766"/>
        <w:jc w:val="both"/>
      </w:pPr>
    </w:p>
    <w:p w:rsidR="00467EEF" w:rsidRPr="00021874" w:rsidRDefault="00AD78D5" w:rsidP="00467EEF">
      <w:pPr>
        <w:pStyle w:val="Heading3"/>
        <w:keepLines w:val="0"/>
        <w:numPr>
          <w:ilvl w:val="0"/>
          <w:numId w:val="1"/>
        </w:numPr>
        <w:tabs>
          <w:tab w:val="left" w:pos="567"/>
        </w:tabs>
        <w:spacing w:before="0"/>
        <w:ind w:left="0" w:right="-285" w:firstLine="0"/>
        <w:rPr>
          <w:rFonts w:ascii="Times New Roman" w:hAnsi="Times New Roman" w:cs="Times New Roman"/>
          <w:iCs/>
          <w:color w:val="auto"/>
        </w:rPr>
      </w:pPr>
      <w:r w:rsidRPr="00021874">
        <w:rPr>
          <w:rFonts w:ascii="Times New Roman" w:hAnsi="Times New Roman" w:cs="Times New Roman"/>
          <w:iCs/>
          <w:color w:val="auto"/>
        </w:rPr>
        <w:t xml:space="preserve">General </w:t>
      </w:r>
      <w:r w:rsidR="00E05218" w:rsidRPr="00021874">
        <w:rPr>
          <w:rFonts w:ascii="Times New Roman" w:hAnsi="Times New Roman" w:cs="Times New Roman"/>
          <w:iCs/>
          <w:color w:val="auto"/>
        </w:rPr>
        <w:t>i</w:t>
      </w:r>
      <w:r w:rsidRPr="00021874">
        <w:rPr>
          <w:rFonts w:ascii="Times New Roman" w:hAnsi="Times New Roman" w:cs="Times New Roman"/>
          <w:iCs/>
          <w:color w:val="auto"/>
        </w:rPr>
        <w:t>nformation</w:t>
      </w:r>
      <w:r w:rsidR="00467EEF" w:rsidRPr="00021874">
        <w:rPr>
          <w:rFonts w:ascii="Times New Roman" w:hAnsi="Times New Roman" w:cs="Times New Roman"/>
          <w:iCs/>
          <w:color w:val="auto"/>
        </w:rPr>
        <w:t xml:space="preserve"> </w:t>
      </w:r>
    </w:p>
    <w:p w:rsidR="00E81746" w:rsidRPr="00021874" w:rsidRDefault="00E81746" w:rsidP="008F3F5E">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021874">
        <w:rPr>
          <w:rFonts w:ascii="Times New Roman" w:hAnsi="Times New Roman" w:cs="Times New Roman"/>
          <w:b w:val="0"/>
          <w:color w:val="auto"/>
        </w:rPr>
        <w:t xml:space="preserve">SLLC </w:t>
      </w:r>
      <w:r w:rsidR="008F3F5E" w:rsidRPr="00021874">
        <w:rPr>
          <w:rFonts w:ascii="Times New Roman" w:hAnsi="Times New Roman" w:cs="Times New Roman"/>
          <w:b w:val="0"/>
          <w:color w:val="auto"/>
        </w:rPr>
        <w:t>Latvijas Nacionālā opera un balets</w:t>
      </w:r>
      <w:r w:rsidRPr="00021874">
        <w:rPr>
          <w:rFonts w:ascii="Times New Roman" w:hAnsi="Times New Roman" w:cs="Times New Roman"/>
          <w:b w:val="0"/>
          <w:color w:val="auto"/>
        </w:rPr>
        <w:t xml:space="preserve"> (hereinafter referred to as the Customer), registration number LV 40103208907, </w:t>
      </w:r>
      <w:r w:rsidR="00D2328C" w:rsidRPr="00021874">
        <w:rPr>
          <w:rFonts w:ascii="Times New Roman" w:hAnsi="Times New Roman" w:cs="Times New Roman"/>
          <w:b w:val="0"/>
          <w:color w:val="auto"/>
        </w:rPr>
        <w:t>calls for</w:t>
      </w:r>
      <w:r w:rsidR="00064FBD" w:rsidRPr="00021874">
        <w:rPr>
          <w:rFonts w:ascii="Times New Roman" w:hAnsi="Times New Roman" w:cs="Times New Roman"/>
          <w:b w:val="0"/>
          <w:color w:val="auto"/>
        </w:rPr>
        <w:t xml:space="preserve"> </w:t>
      </w:r>
      <w:r w:rsidR="00B64575" w:rsidRPr="00021874">
        <w:rPr>
          <w:rFonts w:ascii="Times New Roman" w:hAnsi="Times New Roman" w:cs="Times New Roman"/>
          <w:b w:val="0"/>
          <w:color w:val="auto"/>
        </w:rPr>
        <w:t>bids</w:t>
      </w:r>
      <w:r w:rsidRPr="00021874">
        <w:rPr>
          <w:rFonts w:ascii="Times New Roman" w:hAnsi="Times New Roman" w:cs="Times New Roman"/>
          <w:b w:val="0"/>
          <w:color w:val="auto"/>
        </w:rPr>
        <w:t xml:space="preserve"> in accordance with </w:t>
      </w:r>
      <w:r w:rsidR="00064FBD" w:rsidRPr="00021874">
        <w:rPr>
          <w:rFonts w:ascii="Times New Roman" w:hAnsi="Times New Roman" w:cs="Times New Roman"/>
          <w:b w:val="0"/>
          <w:color w:val="auto"/>
        </w:rPr>
        <w:t>Section</w:t>
      </w:r>
      <w:r w:rsidRPr="00021874">
        <w:rPr>
          <w:rFonts w:ascii="Times New Roman" w:hAnsi="Times New Roman" w:cs="Times New Roman"/>
          <w:b w:val="0"/>
          <w:color w:val="auto"/>
        </w:rPr>
        <w:t xml:space="preserve"> 9 of the Public Procurement </w:t>
      </w:r>
      <w:r w:rsidR="00916A85" w:rsidRPr="00021874">
        <w:rPr>
          <w:rFonts w:ascii="Times New Roman" w:hAnsi="Times New Roman" w:cs="Times New Roman"/>
          <w:b w:val="0"/>
          <w:color w:val="auto"/>
        </w:rPr>
        <w:t xml:space="preserve">Law </w:t>
      </w:r>
      <w:r w:rsidRPr="00021874">
        <w:rPr>
          <w:rFonts w:ascii="Times New Roman" w:hAnsi="Times New Roman" w:cs="Times New Roman"/>
          <w:b w:val="0"/>
          <w:color w:val="auto"/>
        </w:rPr>
        <w:t xml:space="preserve">of the Republic of Latvia </w:t>
      </w:r>
      <w:r w:rsidR="00064FBD" w:rsidRPr="00021874">
        <w:rPr>
          <w:rFonts w:ascii="Times New Roman" w:hAnsi="Times New Roman" w:cs="Times New Roman"/>
          <w:b w:val="0"/>
          <w:color w:val="auto"/>
        </w:rPr>
        <w:t xml:space="preserve">for </w:t>
      </w:r>
      <w:r w:rsidRPr="00021874">
        <w:rPr>
          <w:rFonts w:ascii="Times New Roman" w:hAnsi="Times New Roman" w:cs="Times New Roman"/>
          <w:b w:val="0"/>
          <w:color w:val="auto"/>
        </w:rPr>
        <w:t xml:space="preserve">the </w:t>
      </w:r>
      <w:r w:rsidR="00064FBD" w:rsidRPr="00021874">
        <w:rPr>
          <w:rFonts w:ascii="Times New Roman" w:hAnsi="Times New Roman" w:cs="Times New Roman"/>
          <w:b w:val="0"/>
          <w:color w:val="auto"/>
        </w:rPr>
        <w:t>procurement (hereinafter referred to as the Procurement) according to the Procurement Regulation</w:t>
      </w:r>
      <w:r w:rsidR="00D2328C" w:rsidRPr="00021874">
        <w:rPr>
          <w:rFonts w:ascii="Times New Roman" w:hAnsi="Times New Roman" w:cs="Times New Roman"/>
          <w:b w:val="0"/>
          <w:color w:val="auto"/>
        </w:rPr>
        <w:t>s</w:t>
      </w:r>
      <w:r w:rsidR="00064FBD" w:rsidRPr="00021874">
        <w:rPr>
          <w:rFonts w:ascii="Times New Roman" w:hAnsi="Times New Roman" w:cs="Times New Roman"/>
          <w:b w:val="0"/>
          <w:color w:val="auto"/>
        </w:rPr>
        <w:t xml:space="preserve"> </w:t>
      </w:r>
      <w:r w:rsidR="00084F3E">
        <w:rPr>
          <w:rFonts w:ascii="Times New Roman" w:hAnsi="Times New Roman" w:cs="Times New Roman"/>
          <w:b w:val="0"/>
          <w:color w:val="auto"/>
        </w:rPr>
        <w:t xml:space="preserve">for the </w:t>
      </w:r>
      <w:r w:rsidR="00064FBD" w:rsidRPr="00021874">
        <w:rPr>
          <w:rFonts w:ascii="Times New Roman" w:hAnsi="Times New Roman" w:cs="Times New Roman"/>
          <w:b w:val="0"/>
          <w:color w:val="auto"/>
        </w:rPr>
        <w:t xml:space="preserve">“Procurement of a 5-string </w:t>
      </w:r>
      <w:r w:rsidR="006B099F" w:rsidRPr="00021874">
        <w:rPr>
          <w:rFonts w:ascii="Times New Roman" w:hAnsi="Times New Roman" w:cs="Times New Roman"/>
          <w:b w:val="0"/>
          <w:color w:val="auto"/>
        </w:rPr>
        <w:t>double bass</w:t>
      </w:r>
      <w:r w:rsidR="00064FBD" w:rsidRPr="00021874">
        <w:rPr>
          <w:rFonts w:ascii="Times New Roman" w:hAnsi="Times New Roman" w:cs="Times New Roman"/>
          <w:b w:val="0"/>
          <w:color w:val="auto"/>
        </w:rPr>
        <w:t xml:space="preserve"> for the needs of the Latvian National Opera and Ballet” </w:t>
      </w:r>
      <w:r w:rsidRPr="00021874">
        <w:rPr>
          <w:rFonts w:ascii="Times New Roman" w:hAnsi="Times New Roman" w:cs="Times New Roman"/>
          <w:b w:val="0"/>
          <w:color w:val="auto"/>
        </w:rPr>
        <w:t>(hereinafter referred to as the Regulation</w:t>
      </w:r>
      <w:r w:rsidR="00D2328C" w:rsidRPr="00021874">
        <w:rPr>
          <w:rFonts w:ascii="Times New Roman" w:hAnsi="Times New Roman" w:cs="Times New Roman"/>
          <w:b w:val="0"/>
          <w:color w:val="auto"/>
        </w:rPr>
        <w:t>s</w:t>
      </w:r>
      <w:r w:rsidRPr="00021874">
        <w:rPr>
          <w:rFonts w:ascii="Times New Roman" w:hAnsi="Times New Roman" w:cs="Times New Roman"/>
          <w:b w:val="0"/>
          <w:color w:val="auto"/>
        </w:rPr>
        <w:t>).</w:t>
      </w:r>
    </w:p>
    <w:p w:rsidR="00E81746" w:rsidRPr="00021874" w:rsidRDefault="00E81746" w:rsidP="00E81746">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021874">
        <w:rPr>
          <w:rFonts w:ascii="Times New Roman" w:hAnsi="Times New Roman" w:cs="Times New Roman"/>
          <w:b w:val="0"/>
          <w:color w:val="auto"/>
        </w:rPr>
        <w:t>CPV Code: 37310000-4, 37313000-5.</w:t>
      </w:r>
    </w:p>
    <w:p w:rsidR="00E81746" w:rsidRPr="00021874" w:rsidRDefault="00064FBD" w:rsidP="00E81746">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021874">
        <w:rPr>
          <w:rFonts w:ascii="Times New Roman" w:hAnsi="Times New Roman" w:cs="Times New Roman"/>
          <w:b w:val="0"/>
          <w:color w:val="auto"/>
        </w:rPr>
        <w:t>Procurement</w:t>
      </w:r>
      <w:r w:rsidR="00E81746" w:rsidRPr="00021874">
        <w:rPr>
          <w:rFonts w:ascii="Times New Roman" w:hAnsi="Times New Roman" w:cs="Times New Roman"/>
          <w:b w:val="0"/>
          <w:color w:val="auto"/>
        </w:rPr>
        <w:t xml:space="preserve"> Identification Number: LNO 2018/13.</w:t>
      </w:r>
    </w:p>
    <w:p w:rsidR="00E81746" w:rsidRPr="00021874" w:rsidRDefault="00E81746" w:rsidP="003E4F4B">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021874">
        <w:rPr>
          <w:rFonts w:ascii="Times New Roman" w:hAnsi="Times New Roman" w:cs="Times New Roman"/>
          <w:b w:val="0"/>
          <w:color w:val="auto"/>
        </w:rPr>
        <w:t>The</w:t>
      </w:r>
      <w:r w:rsidR="00BA7983" w:rsidRPr="00021874">
        <w:rPr>
          <w:rFonts w:ascii="Times New Roman" w:hAnsi="Times New Roman" w:cs="Times New Roman"/>
          <w:b w:val="0"/>
          <w:color w:val="auto"/>
        </w:rPr>
        <w:t xml:space="preserve"> </w:t>
      </w:r>
      <w:r w:rsidR="003E4F4B" w:rsidRPr="00021874">
        <w:rPr>
          <w:rFonts w:ascii="Times New Roman" w:hAnsi="Times New Roman" w:cs="Times New Roman"/>
          <w:b w:val="0"/>
          <w:color w:val="auto"/>
        </w:rPr>
        <w:t>Procurement</w:t>
      </w:r>
      <w:r w:rsidRPr="00021874">
        <w:rPr>
          <w:rFonts w:ascii="Times New Roman" w:hAnsi="Times New Roman" w:cs="Times New Roman"/>
          <w:b w:val="0"/>
          <w:color w:val="auto"/>
        </w:rPr>
        <w:t xml:space="preserve"> </w:t>
      </w:r>
      <w:r w:rsidR="00BA7983" w:rsidRPr="00021874">
        <w:rPr>
          <w:rFonts w:ascii="Times New Roman" w:hAnsi="Times New Roman" w:cs="Times New Roman"/>
          <w:b w:val="0"/>
          <w:color w:val="auto"/>
        </w:rPr>
        <w:t>is</w:t>
      </w:r>
      <w:r w:rsidRPr="00021874">
        <w:rPr>
          <w:rFonts w:ascii="Times New Roman" w:hAnsi="Times New Roman" w:cs="Times New Roman"/>
          <w:b w:val="0"/>
          <w:color w:val="auto"/>
        </w:rPr>
        <w:t xml:space="preserve"> divided into two parts. Estimated purchase price for both parts of the </w:t>
      </w:r>
      <w:r w:rsidR="00BA7983" w:rsidRPr="00021874">
        <w:rPr>
          <w:rFonts w:ascii="Times New Roman" w:hAnsi="Times New Roman" w:cs="Times New Roman"/>
          <w:b w:val="0"/>
          <w:color w:val="auto"/>
        </w:rPr>
        <w:t>P</w:t>
      </w:r>
      <w:r w:rsidRPr="00021874">
        <w:rPr>
          <w:rFonts w:ascii="Times New Roman" w:hAnsi="Times New Roman" w:cs="Times New Roman"/>
          <w:b w:val="0"/>
          <w:color w:val="auto"/>
        </w:rPr>
        <w:t xml:space="preserve">rocurement </w:t>
      </w:r>
      <w:r w:rsidR="00BA7983" w:rsidRPr="00021874">
        <w:rPr>
          <w:rFonts w:ascii="Times New Roman" w:hAnsi="Times New Roman" w:cs="Times New Roman"/>
          <w:b w:val="0"/>
          <w:color w:val="auto"/>
        </w:rPr>
        <w:t xml:space="preserve">is </w:t>
      </w:r>
      <w:r w:rsidRPr="00021874">
        <w:rPr>
          <w:rFonts w:ascii="Times New Roman" w:hAnsi="Times New Roman" w:cs="Times New Roman"/>
          <w:b w:val="0"/>
          <w:color w:val="auto"/>
        </w:rPr>
        <w:t>up to EUR 28</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000</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00</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 xml:space="preserve"> excluding VAT. Estimated purchase price for </w:t>
      </w:r>
      <w:r w:rsidR="00BA7983" w:rsidRPr="00021874">
        <w:rPr>
          <w:rFonts w:ascii="Times New Roman" w:hAnsi="Times New Roman" w:cs="Times New Roman"/>
          <w:b w:val="0"/>
          <w:color w:val="auto"/>
        </w:rPr>
        <w:t>the P</w:t>
      </w:r>
      <w:r w:rsidRPr="00021874">
        <w:rPr>
          <w:rFonts w:ascii="Times New Roman" w:hAnsi="Times New Roman" w:cs="Times New Roman"/>
          <w:b w:val="0"/>
          <w:color w:val="auto"/>
        </w:rPr>
        <w:t xml:space="preserve">rocurement </w:t>
      </w:r>
      <w:r w:rsidR="00BA7983" w:rsidRPr="00021874">
        <w:rPr>
          <w:rFonts w:ascii="Times New Roman" w:hAnsi="Times New Roman" w:cs="Times New Roman"/>
          <w:b w:val="0"/>
          <w:color w:val="auto"/>
        </w:rPr>
        <w:t xml:space="preserve">Part 1 is </w:t>
      </w:r>
      <w:r w:rsidRPr="00021874">
        <w:rPr>
          <w:rFonts w:ascii="Times New Roman" w:hAnsi="Times New Roman" w:cs="Times New Roman"/>
          <w:b w:val="0"/>
          <w:color w:val="auto"/>
        </w:rPr>
        <w:t>up to EUR 14</w:t>
      </w:r>
      <w:r w:rsidR="00BA7983" w:rsidRPr="00021874">
        <w:rPr>
          <w:rFonts w:ascii="Times New Roman" w:hAnsi="Times New Roman" w:cs="Times New Roman"/>
          <w:b w:val="0"/>
          <w:color w:val="auto"/>
        </w:rPr>
        <w:t>,0</w:t>
      </w:r>
      <w:r w:rsidRPr="00021874">
        <w:rPr>
          <w:rFonts w:ascii="Times New Roman" w:hAnsi="Times New Roman" w:cs="Times New Roman"/>
          <w:b w:val="0"/>
          <w:color w:val="auto"/>
        </w:rPr>
        <w:t>00</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00</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 xml:space="preserve"> excluding VAT. Estimated purchase price for </w:t>
      </w:r>
      <w:r w:rsidR="00BA7983" w:rsidRPr="00021874">
        <w:rPr>
          <w:rFonts w:ascii="Times New Roman" w:hAnsi="Times New Roman" w:cs="Times New Roman"/>
          <w:b w:val="0"/>
          <w:color w:val="auto"/>
        </w:rPr>
        <w:t>the P</w:t>
      </w:r>
      <w:r w:rsidRPr="00021874">
        <w:rPr>
          <w:rFonts w:ascii="Times New Roman" w:hAnsi="Times New Roman" w:cs="Times New Roman"/>
          <w:b w:val="0"/>
          <w:color w:val="auto"/>
        </w:rPr>
        <w:t xml:space="preserve">rocurement </w:t>
      </w:r>
      <w:r w:rsidR="00BA7983" w:rsidRPr="00021874">
        <w:rPr>
          <w:rFonts w:ascii="Times New Roman" w:hAnsi="Times New Roman" w:cs="Times New Roman"/>
          <w:b w:val="0"/>
          <w:color w:val="auto"/>
        </w:rPr>
        <w:t xml:space="preserve">Part 2 is </w:t>
      </w:r>
      <w:r w:rsidRPr="00021874">
        <w:rPr>
          <w:rFonts w:ascii="Times New Roman" w:hAnsi="Times New Roman" w:cs="Times New Roman"/>
          <w:b w:val="0"/>
          <w:color w:val="auto"/>
        </w:rPr>
        <w:t>up to EUR 14</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000</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00</w:t>
      </w:r>
      <w:r w:rsidR="00BA7983" w:rsidRPr="00021874">
        <w:rPr>
          <w:rFonts w:ascii="Times New Roman" w:hAnsi="Times New Roman" w:cs="Times New Roman"/>
          <w:b w:val="0"/>
          <w:color w:val="auto"/>
        </w:rPr>
        <w:t>,</w:t>
      </w:r>
      <w:r w:rsidRPr="00021874">
        <w:rPr>
          <w:rFonts w:ascii="Times New Roman" w:hAnsi="Times New Roman" w:cs="Times New Roman"/>
          <w:b w:val="0"/>
          <w:color w:val="auto"/>
        </w:rPr>
        <w:t xml:space="preserve"> excluding VAT.</w:t>
      </w:r>
    </w:p>
    <w:p w:rsidR="00E81746" w:rsidRPr="00021874" w:rsidRDefault="00E81746" w:rsidP="00E81746">
      <w:pPr>
        <w:pStyle w:val="Heading3"/>
        <w:numPr>
          <w:ilvl w:val="1"/>
          <w:numId w:val="2"/>
        </w:numPr>
        <w:tabs>
          <w:tab w:val="left" w:pos="0"/>
          <w:tab w:val="left" w:pos="567"/>
        </w:tabs>
        <w:ind w:right="-284"/>
        <w:contextualSpacing/>
        <w:jc w:val="both"/>
        <w:rPr>
          <w:rFonts w:ascii="Times New Roman" w:hAnsi="Times New Roman" w:cs="Times New Roman"/>
          <w:b w:val="0"/>
          <w:color w:val="auto"/>
        </w:rPr>
      </w:pPr>
      <w:r w:rsidRPr="00021874">
        <w:rPr>
          <w:rFonts w:ascii="Times New Roman" w:hAnsi="Times New Roman" w:cs="Times New Roman"/>
          <w:b w:val="0"/>
          <w:color w:val="auto"/>
        </w:rPr>
        <w:t xml:space="preserve">The </w:t>
      </w:r>
      <w:r w:rsidR="00BA7983" w:rsidRPr="00021874">
        <w:rPr>
          <w:rFonts w:ascii="Times New Roman" w:hAnsi="Times New Roman" w:cs="Times New Roman"/>
          <w:b w:val="0"/>
          <w:color w:val="auto"/>
        </w:rPr>
        <w:t>P</w:t>
      </w:r>
      <w:r w:rsidRPr="00021874">
        <w:rPr>
          <w:rFonts w:ascii="Times New Roman" w:hAnsi="Times New Roman" w:cs="Times New Roman"/>
          <w:b w:val="0"/>
          <w:color w:val="auto"/>
        </w:rPr>
        <w:t>rocurement is announced by placing a</w:t>
      </w:r>
      <w:r w:rsidR="00BA7983" w:rsidRPr="00021874">
        <w:rPr>
          <w:rFonts w:ascii="Times New Roman" w:hAnsi="Times New Roman" w:cs="Times New Roman"/>
          <w:b w:val="0"/>
          <w:color w:val="auto"/>
        </w:rPr>
        <w:t>n announcement</w:t>
      </w:r>
      <w:r w:rsidRPr="00021874">
        <w:rPr>
          <w:rFonts w:ascii="Times New Roman" w:hAnsi="Times New Roman" w:cs="Times New Roman"/>
          <w:b w:val="0"/>
          <w:color w:val="auto"/>
        </w:rPr>
        <w:t xml:space="preserve"> </w:t>
      </w:r>
      <w:r w:rsidR="00BA7983" w:rsidRPr="00021874">
        <w:rPr>
          <w:rFonts w:ascii="Times New Roman" w:hAnsi="Times New Roman" w:cs="Times New Roman"/>
          <w:b w:val="0"/>
          <w:color w:val="auto"/>
        </w:rPr>
        <w:t xml:space="preserve">online </w:t>
      </w:r>
      <w:r w:rsidRPr="00021874">
        <w:rPr>
          <w:rFonts w:ascii="Times New Roman" w:hAnsi="Times New Roman" w:cs="Times New Roman"/>
          <w:b w:val="0"/>
          <w:color w:val="auto"/>
        </w:rPr>
        <w:t>on the website of the Procurement Monitoring Bureau and on the C</w:t>
      </w:r>
      <w:r w:rsidR="00BA7983" w:rsidRPr="00021874">
        <w:rPr>
          <w:rFonts w:ascii="Times New Roman" w:hAnsi="Times New Roman" w:cs="Times New Roman"/>
          <w:b w:val="0"/>
          <w:color w:val="auto"/>
        </w:rPr>
        <w:t>ustomer</w:t>
      </w:r>
      <w:r w:rsidRPr="00021874">
        <w:rPr>
          <w:rFonts w:ascii="Times New Roman" w:hAnsi="Times New Roman" w:cs="Times New Roman"/>
          <w:b w:val="0"/>
          <w:color w:val="auto"/>
        </w:rPr>
        <w:t xml:space="preserve">'s website: </w:t>
      </w:r>
      <w:hyperlink r:id="rId8" w:history="1">
        <w:r w:rsidR="00BA7983" w:rsidRPr="00021874">
          <w:rPr>
            <w:rStyle w:val="Hyperlink"/>
            <w:rFonts w:ascii="Times New Roman" w:hAnsi="Times New Roman" w:cs="Times New Roman"/>
            <w:b w:val="0"/>
          </w:rPr>
          <w:t>www.opera.lv</w:t>
        </w:r>
      </w:hyperlink>
      <w:r w:rsidRPr="00021874">
        <w:rPr>
          <w:rFonts w:ascii="Times New Roman" w:hAnsi="Times New Roman" w:cs="Times New Roman"/>
          <w:b w:val="0"/>
          <w:color w:val="auto"/>
        </w:rPr>
        <w:t>.</w:t>
      </w:r>
    </w:p>
    <w:p w:rsidR="00251254" w:rsidRPr="00021874" w:rsidRDefault="00E81746" w:rsidP="00BA7983">
      <w:pPr>
        <w:pStyle w:val="Heading3"/>
        <w:keepLines w:val="0"/>
        <w:numPr>
          <w:ilvl w:val="1"/>
          <w:numId w:val="2"/>
        </w:numPr>
        <w:tabs>
          <w:tab w:val="left" w:pos="0"/>
          <w:tab w:val="left" w:pos="567"/>
        </w:tabs>
        <w:spacing w:before="0"/>
        <w:ind w:right="-285"/>
        <w:jc w:val="both"/>
      </w:pPr>
      <w:r w:rsidRPr="00021874">
        <w:rPr>
          <w:rFonts w:ascii="Times New Roman" w:hAnsi="Times New Roman" w:cs="Times New Roman"/>
          <w:b w:val="0"/>
          <w:color w:val="auto"/>
        </w:rPr>
        <w:t xml:space="preserve">Customer contact person: Dace Peltmane, phone +371 67073844, fax +371 67228930, e-mail </w:t>
      </w:r>
      <w:hyperlink r:id="rId9" w:history="1">
        <w:r w:rsidRPr="00021874">
          <w:rPr>
            <w:rStyle w:val="Hyperlink"/>
            <w:rFonts w:ascii="Times New Roman" w:hAnsi="Times New Roman" w:cs="Times New Roman"/>
            <w:b w:val="0"/>
          </w:rPr>
          <w:t>dace.peltmane@opera.lv</w:t>
        </w:r>
      </w:hyperlink>
      <w:r w:rsidRPr="00021874">
        <w:rPr>
          <w:rFonts w:ascii="Times New Roman" w:hAnsi="Times New Roman" w:cs="Times New Roman"/>
          <w:b w:val="0"/>
          <w:color w:val="auto"/>
        </w:rPr>
        <w:t xml:space="preserve">. </w:t>
      </w:r>
    </w:p>
    <w:p w:rsidR="00467EEF" w:rsidRPr="00021874" w:rsidRDefault="00467EEF" w:rsidP="00D72C6B">
      <w:pPr>
        <w:rPr>
          <w:b/>
        </w:rPr>
      </w:pPr>
    </w:p>
    <w:p w:rsidR="00467EEF" w:rsidRPr="00021874" w:rsidRDefault="00BA7983" w:rsidP="00467EEF">
      <w:pPr>
        <w:numPr>
          <w:ilvl w:val="0"/>
          <w:numId w:val="3"/>
        </w:numPr>
        <w:tabs>
          <w:tab w:val="left" w:pos="567"/>
        </w:tabs>
        <w:ind w:left="0" w:right="-285" w:firstLine="0"/>
        <w:jc w:val="both"/>
        <w:rPr>
          <w:b/>
          <w:iCs/>
        </w:rPr>
      </w:pPr>
      <w:r w:rsidRPr="00021874">
        <w:rPr>
          <w:b/>
          <w:iCs/>
        </w:rPr>
        <w:t xml:space="preserve">Subject of the </w:t>
      </w:r>
      <w:r w:rsidR="00E05218" w:rsidRPr="00021874">
        <w:rPr>
          <w:b/>
          <w:iCs/>
        </w:rPr>
        <w:t>p</w:t>
      </w:r>
      <w:r w:rsidRPr="00021874">
        <w:rPr>
          <w:b/>
          <w:iCs/>
        </w:rPr>
        <w:t>rocurement</w:t>
      </w:r>
      <w:r w:rsidR="00081C31" w:rsidRPr="00021874">
        <w:rPr>
          <w:b/>
          <w:iCs/>
        </w:rPr>
        <w:t xml:space="preserve"> </w:t>
      </w:r>
    </w:p>
    <w:p w:rsidR="00BA7983" w:rsidRPr="00021874" w:rsidRDefault="00BA7983" w:rsidP="00BA7983">
      <w:pPr>
        <w:numPr>
          <w:ilvl w:val="1"/>
          <w:numId w:val="4"/>
        </w:numPr>
        <w:tabs>
          <w:tab w:val="left" w:pos="567"/>
        </w:tabs>
        <w:ind w:right="-285"/>
        <w:jc w:val="both"/>
      </w:pPr>
      <w:r w:rsidRPr="00021874">
        <w:t xml:space="preserve">Procurement subject: in the Procurement Part 1 - one professional 5-string </w:t>
      </w:r>
      <w:r w:rsidR="006B099F" w:rsidRPr="00021874">
        <w:t>double bass</w:t>
      </w:r>
      <w:r w:rsidRPr="00021874">
        <w:t xml:space="preserve"> delivery (for the needs of the orchestra) according to the technical specifications (Annex 2) and in</w:t>
      </w:r>
      <w:r w:rsidR="00C7783E" w:rsidRPr="00021874">
        <w:t xml:space="preserve"> the P</w:t>
      </w:r>
      <w:r w:rsidRPr="00021874">
        <w:t xml:space="preserve">rocurement </w:t>
      </w:r>
      <w:r w:rsidR="00C7783E" w:rsidRPr="00021874">
        <w:t>P</w:t>
      </w:r>
      <w:r w:rsidRPr="00021874">
        <w:t xml:space="preserve">art 2 - one professional 5-string </w:t>
      </w:r>
      <w:r w:rsidR="006B099F" w:rsidRPr="00021874">
        <w:t>double bass</w:t>
      </w:r>
      <w:r w:rsidRPr="00021874">
        <w:t xml:space="preserve"> delivery (for the needs of the orchestra) according to the technical specification</w:t>
      </w:r>
      <w:r w:rsidR="00C7783E" w:rsidRPr="00021874">
        <w:t>s (Annex</w:t>
      </w:r>
      <w:r w:rsidRPr="00021874">
        <w:t xml:space="preserve"> No. 2).</w:t>
      </w:r>
    </w:p>
    <w:p w:rsidR="00BA7983" w:rsidRPr="00021874" w:rsidRDefault="00BA7983" w:rsidP="00BA7983">
      <w:pPr>
        <w:numPr>
          <w:ilvl w:val="1"/>
          <w:numId w:val="4"/>
        </w:numPr>
        <w:tabs>
          <w:tab w:val="left" w:pos="567"/>
        </w:tabs>
        <w:ind w:right="-285"/>
        <w:jc w:val="both"/>
      </w:pPr>
      <w:r w:rsidRPr="00021874">
        <w:t>The Tenderer may submit an offer for one part or several parts.</w:t>
      </w:r>
    </w:p>
    <w:p w:rsidR="00BA7983" w:rsidRPr="00021874" w:rsidRDefault="00BA7983" w:rsidP="00BA7983">
      <w:pPr>
        <w:numPr>
          <w:ilvl w:val="1"/>
          <w:numId w:val="4"/>
        </w:numPr>
        <w:tabs>
          <w:tab w:val="left" w:pos="567"/>
        </w:tabs>
        <w:ind w:right="-285"/>
        <w:jc w:val="both"/>
      </w:pPr>
      <w:r w:rsidRPr="00021874">
        <w:t>Delivery time: 2 weeks from the date of the contract.</w:t>
      </w:r>
    </w:p>
    <w:p w:rsidR="00BA7983" w:rsidRPr="00021874" w:rsidRDefault="00BA7983" w:rsidP="008F3F5E">
      <w:pPr>
        <w:numPr>
          <w:ilvl w:val="1"/>
          <w:numId w:val="4"/>
        </w:numPr>
        <w:tabs>
          <w:tab w:val="left" w:pos="567"/>
        </w:tabs>
        <w:ind w:right="-285"/>
        <w:jc w:val="both"/>
      </w:pPr>
      <w:r w:rsidRPr="00021874">
        <w:lastRenderedPageBreak/>
        <w:t xml:space="preserve">Place of delivery of goods/Address of the </w:t>
      </w:r>
      <w:r w:rsidR="00C7783E" w:rsidRPr="00021874">
        <w:t>C</w:t>
      </w:r>
      <w:r w:rsidRPr="00021874">
        <w:t xml:space="preserve">ustomer - </w:t>
      </w:r>
      <w:r w:rsidR="00C7783E" w:rsidRPr="00021874">
        <w:t>SLLC</w:t>
      </w:r>
      <w:r w:rsidRPr="00021874">
        <w:t xml:space="preserve"> </w:t>
      </w:r>
      <w:r w:rsidR="008F3F5E" w:rsidRPr="00021874">
        <w:t>Latvijas Nacionālā opera un balets</w:t>
      </w:r>
      <w:r w:rsidRPr="00021874">
        <w:t xml:space="preserve">, 3 Aspazijas </w:t>
      </w:r>
      <w:r w:rsidR="00C7783E" w:rsidRPr="00021874">
        <w:t>Boulevard</w:t>
      </w:r>
      <w:r w:rsidRPr="00021874">
        <w:t>, Riga, LV-1050, Latvia.</w:t>
      </w:r>
    </w:p>
    <w:p w:rsidR="00C7783E" w:rsidRPr="00021874" w:rsidRDefault="00C7783E" w:rsidP="00C7783E">
      <w:pPr>
        <w:tabs>
          <w:tab w:val="left" w:pos="567"/>
        </w:tabs>
        <w:ind w:left="360" w:right="-285"/>
        <w:jc w:val="both"/>
      </w:pPr>
    </w:p>
    <w:p w:rsidR="008716F2" w:rsidRPr="00021874" w:rsidRDefault="00C7783E" w:rsidP="008716F2">
      <w:pPr>
        <w:pStyle w:val="naisf"/>
        <w:numPr>
          <w:ilvl w:val="0"/>
          <w:numId w:val="4"/>
        </w:numPr>
        <w:tabs>
          <w:tab w:val="left" w:pos="567"/>
        </w:tabs>
        <w:spacing w:before="0" w:beforeAutospacing="0" w:after="0" w:afterAutospacing="0"/>
        <w:ind w:left="0" w:right="-285" w:firstLine="0"/>
        <w:rPr>
          <w:b/>
          <w:iCs/>
        </w:rPr>
      </w:pPr>
      <w:r w:rsidRPr="00021874">
        <w:rPr>
          <w:b/>
          <w:iCs/>
        </w:rPr>
        <w:t xml:space="preserve">Requirements for the </w:t>
      </w:r>
      <w:r w:rsidR="00E05218" w:rsidRPr="00021874">
        <w:rPr>
          <w:b/>
          <w:iCs/>
        </w:rPr>
        <w:t>t</w:t>
      </w:r>
      <w:r w:rsidRPr="00021874">
        <w:rPr>
          <w:b/>
          <w:iCs/>
        </w:rPr>
        <w:t>enderers</w:t>
      </w:r>
    </w:p>
    <w:p w:rsidR="00916A85" w:rsidRPr="00021874" w:rsidRDefault="008716F2" w:rsidP="00916A85">
      <w:pPr>
        <w:pStyle w:val="naisf"/>
        <w:tabs>
          <w:tab w:val="left" w:pos="567"/>
        </w:tabs>
        <w:ind w:right="-284"/>
        <w:contextualSpacing/>
      </w:pPr>
      <w:r w:rsidRPr="00021874">
        <w:t xml:space="preserve">3.1. </w:t>
      </w:r>
      <w:r w:rsidR="00916A85" w:rsidRPr="00021874">
        <w:t xml:space="preserve">The Customer shall exclude </w:t>
      </w:r>
      <w:r w:rsidR="00C802FD" w:rsidRPr="00021874">
        <w:t>a</w:t>
      </w:r>
      <w:r w:rsidR="00916A85" w:rsidRPr="00021874">
        <w:t xml:space="preserve"> </w:t>
      </w:r>
      <w:r w:rsidR="00C802FD" w:rsidRPr="00021874">
        <w:t>t</w:t>
      </w:r>
      <w:r w:rsidR="00916A85" w:rsidRPr="00021874">
        <w:t>enderer from participation in the Procurement in any of the following cases, which are specified in Section 8, Paragraph eight of the Public Procurement Law of the Republic of Latvia:</w:t>
      </w:r>
    </w:p>
    <w:p w:rsidR="00916A85" w:rsidRPr="00021874" w:rsidRDefault="00916A85" w:rsidP="00916A85">
      <w:pPr>
        <w:pStyle w:val="naisf"/>
        <w:tabs>
          <w:tab w:val="left" w:pos="567"/>
        </w:tabs>
        <w:ind w:right="-284"/>
        <w:contextualSpacing/>
      </w:pPr>
      <w:r w:rsidRPr="00021874">
        <w:t xml:space="preserve">1) </w:t>
      </w:r>
      <w:r w:rsidR="00C802FD" w:rsidRPr="00021874">
        <w:t>T</w:t>
      </w:r>
      <w:r w:rsidRPr="00021874">
        <w:t xml:space="preserve">he tenderer's insolvency proceedings have been announced (except in </w:t>
      </w:r>
      <w:r w:rsidR="00B16353" w:rsidRPr="00021874">
        <w:t xml:space="preserve">case </w:t>
      </w:r>
      <w:r w:rsidR="001B77B8" w:rsidRPr="00021874">
        <w:t>whe</w:t>
      </w:r>
      <w:r w:rsidR="00B16353" w:rsidRPr="00021874">
        <w:t>re</w:t>
      </w:r>
      <w:r w:rsidR="001B77B8" w:rsidRPr="00021874">
        <w:t xml:space="preserve"> in the insolvency proceedings a package of measures aimed at restoring the debtor's solvency has been applied</w:t>
      </w:r>
      <w:r w:rsidRPr="00021874">
        <w:t xml:space="preserve">), its economic activity </w:t>
      </w:r>
      <w:r w:rsidR="001B77B8" w:rsidRPr="00021874">
        <w:t>has been</w:t>
      </w:r>
      <w:r w:rsidRPr="00021874">
        <w:t xml:space="preserve"> suspended or the tenderer </w:t>
      </w:r>
      <w:r w:rsidR="00DA694F" w:rsidRPr="00021874">
        <w:t>is</w:t>
      </w:r>
      <w:r w:rsidRPr="00021874">
        <w:t xml:space="preserve"> liquidated;</w:t>
      </w:r>
    </w:p>
    <w:p w:rsidR="00916A85" w:rsidRPr="00021874" w:rsidRDefault="00916A85" w:rsidP="00916A85">
      <w:pPr>
        <w:pStyle w:val="naisf"/>
        <w:tabs>
          <w:tab w:val="left" w:pos="567"/>
        </w:tabs>
        <w:spacing w:before="0" w:beforeAutospacing="0" w:after="0" w:afterAutospacing="0"/>
        <w:ind w:right="-284"/>
        <w:contextualSpacing/>
      </w:pPr>
      <w:r w:rsidRPr="00021874">
        <w:t xml:space="preserve">2) </w:t>
      </w:r>
      <w:r w:rsidR="001B77B8" w:rsidRPr="00021874">
        <w:t>I</w:t>
      </w:r>
      <w:r w:rsidRPr="00021874">
        <w:t xml:space="preserve">t is </w:t>
      </w:r>
      <w:r w:rsidR="00DA694F" w:rsidRPr="00021874">
        <w:t>found</w:t>
      </w:r>
      <w:r w:rsidRPr="00021874">
        <w:t xml:space="preserve"> that on the last day of the deadline for submission of </w:t>
      </w:r>
      <w:r w:rsidR="00B64575" w:rsidRPr="00021874">
        <w:t>bids</w:t>
      </w:r>
      <w:r w:rsidRPr="00021874">
        <w:t xml:space="preserve"> or on the day the decision on the possible award of a procurement contract is taken, the </w:t>
      </w:r>
      <w:r w:rsidR="001B77B8" w:rsidRPr="00021874">
        <w:t>tenderer</w:t>
      </w:r>
      <w:r w:rsidRPr="00021874">
        <w:t xml:space="preserve"> </w:t>
      </w:r>
      <w:r w:rsidR="001B77B8" w:rsidRPr="00021874">
        <w:t xml:space="preserve">has tax debts </w:t>
      </w:r>
      <w:r w:rsidRPr="00021874">
        <w:t xml:space="preserve">in Latvia or in the country where </w:t>
      </w:r>
      <w:r w:rsidR="001B77B8" w:rsidRPr="00021874">
        <w:t>it</w:t>
      </w:r>
      <w:r w:rsidRPr="00021874">
        <w:t xml:space="preserve"> is registered or has </w:t>
      </w:r>
      <w:r w:rsidR="001B77B8" w:rsidRPr="00021874">
        <w:t>its</w:t>
      </w:r>
      <w:r w:rsidRPr="00021874">
        <w:t xml:space="preserve"> habitual residence, including mandatory state social insurance </w:t>
      </w:r>
      <w:r w:rsidR="001B77B8" w:rsidRPr="00021874">
        <w:t>c</w:t>
      </w:r>
      <w:r w:rsidRPr="00021874">
        <w:t>ontribution debts</w:t>
      </w:r>
      <w:r w:rsidR="000D0810" w:rsidRPr="00021874">
        <w:t>,</w:t>
      </w:r>
      <w:r w:rsidRPr="00021874">
        <w:t xml:space="preserve"> </w:t>
      </w:r>
      <w:r w:rsidR="000D0810" w:rsidRPr="00021874">
        <w:t>which in total exceed EUR 150 in one country</w:t>
      </w:r>
      <w:r w:rsidRPr="00021874">
        <w:t>.</w:t>
      </w:r>
    </w:p>
    <w:p w:rsidR="000663EF" w:rsidRPr="00021874" w:rsidRDefault="000663EF" w:rsidP="008716F2">
      <w:pPr>
        <w:jc w:val="both"/>
      </w:pPr>
    </w:p>
    <w:p w:rsidR="000663EF" w:rsidRPr="00021874" w:rsidRDefault="00B16353" w:rsidP="008716F2">
      <w:pPr>
        <w:jc w:val="both"/>
        <w:rPr>
          <w:b/>
        </w:rPr>
      </w:pPr>
      <w:r w:rsidRPr="00021874">
        <w:rPr>
          <w:b/>
        </w:rPr>
        <w:t>A foreign registered or resident tenderer shall provide a certificate from the relevant competent authority stating that it does not fall within the above exclusion cases, namely:</w:t>
      </w:r>
    </w:p>
    <w:p w:rsidR="00DA694F" w:rsidRPr="00021874" w:rsidRDefault="00DA694F" w:rsidP="00DA694F">
      <w:pPr>
        <w:jc w:val="both"/>
      </w:pPr>
      <w:r w:rsidRPr="00021874">
        <w:t>- The tenderer's insolvency proceedings have not been announced (except in case where in the insolvency proceedings a package of measures aimed at restoring the debtor's solvency has been applied), its economic activity has not been suspended or the tenderer is not liquidated;</w:t>
      </w:r>
    </w:p>
    <w:p w:rsidR="00DA694F" w:rsidRPr="00021874" w:rsidRDefault="00DA694F" w:rsidP="00DA694F">
      <w:pPr>
        <w:jc w:val="both"/>
      </w:pPr>
      <w:r w:rsidRPr="00021874">
        <w:t xml:space="preserve">- </w:t>
      </w:r>
      <w:r w:rsidR="000D0810" w:rsidRPr="00021874">
        <w:t>It</w:t>
      </w:r>
      <w:r w:rsidRPr="00021874">
        <w:t xml:space="preserve"> has not been found </w:t>
      </w:r>
      <w:r w:rsidR="000D0810" w:rsidRPr="00021874">
        <w:t xml:space="preserve">about the tenderer </w:t>
      </w:r>
      <w:r w:rsidRPr="00021874">
        <w:t xml:space="preserve">that </w:t>
      </w:r>
      <w:r w:rsidR="00D2328C" w:rsidRPr="00021874">
        <w:t xml:space="preserve">on the last day of the deadline for submission of bids </w:t>
      </w:r>
      <w:r w:rsidRPr="00021874">
        <w:t>(</w:t>
      </w:r>
      <w:r w:rsidR="000D0810" w:rsidRPr="00021874">
        <w:t xml:space="preserve">19 </w:t>
      </w:r>
      <w:r w:rsidRPr="00021874">
        <w:t xml:space="preserve">September 2018) or on the day the decision on the possible award of the procurement contract is taken, the tenderer </w:t>
      </w:r>
      <w:r w:rsidR="000D0810" w:rsidRPr="00021874">
        <w:t xml:space="preserve">has tax debts </w:t>
      </w:r>
      <w:r w:rsidRPr="00021874">
        <w:t xml:space="preserve">in Latvia or in the country where </w:t>
      </w:r>
      <w:r w:rsidR="000D0810" w:rsidRPr="00021874">
        <w:t>it</w:t>
      </w:r>
      <w:r w:rsidRPr="00021874">
        <w:t xml:space="preserve"> is registered or has </w:t>
      </w:r>
      <w:r w:rsidR="000D0810" w:rsidRPr="00021874">
        <w:t>its</w:t>
      </w:r>
      <w:r w:rsidRPr="00021874">
        <w:t xml:space="preserve"> habitual residence, </w:t>
      </w:r>
      <w:r w:rsidR="000D0810" w:rsidRPr="00021874">
        <w:t>including mandatory state social insurance contribution debts</w:t>
      </w:r>
      <w:r w:rsidRPr="00021874">
        <w:t>, which in total exceed EUR 150 in one country.</w:t>
      </w:r>
    </w:p>
    <w:p w:rsidR="00467EEF" w:rsidRPr="00021874" w:rsidRDefault="00467EEF" w:rsidP="00467EEF">
      <w:pPr>
        <w:pStyle w:val="NormalWeb"/>
        <w:rPr>
          <w:lang w:val="en-GB"/>
        </w:rPr>
      </w:pPr>
    </w:p>
    <w:p w:rsidR="00467EEF" w:rsidRPr="00021874" w:rsidRDefault="00E05218" w:rsidP="00E05218">
      <w:pPr>
        <w:pStyle w:val="naisf"/>
        <w:numPr>
          <w:ilvl w:val="0"/>
          <w:numId w:val="4"/>
        </w:numPr>
        <w:tabs>
          <w:tab w:val="left" w:pos="567"/>
        </w:tabs>
        <w:spacing w:before="0" w:beforeAutospacing="0" w:after="0" w:afterAutospacing="0"/>
        <w:rPr>
          <w:b/>
        </w:rPr>
      </w:pPr>
      <w:r w:rsidRPr="00021874">
        <w:rPr>
          <w:b/>
          <w:bCs/>
          <w:iCs/>
        </w:rPr>
        <w:t xml:space="preserve">Submission of </w:t>
      </w:r>
      <w:r w:rsidR="00D2328C" w:rsidRPr="00021874">
        <w:rPr>
          <w:b/>
          <w:bCs/>
          <w:iCs/>
        </w:rPr>
        <w:t>bids</w:t>
      </w:r>
      <w:r w:rsidRPr="00021874">
        <w:rPr>
          <w:b/>
          <w:bCs/>
          <w:iCs/>
        </w:rPr>
        <w:t xml:space="preserve"> and requirements for </w:t>
      </w:r>
      <w:r w:rsidR="00D2328C" w:rsidRPr="00021874">
        <w:rPr>
          <w:b/>
          <w:bCs/>
          <w:iCs/>
        </w:rPr>
        <w:t>bid</w:t>
      </w:r>
      <w:r w:rsidRPr="00021874">
        <w:rPr>
          <w:b/>
          <w:bCs/>
          <w:iCs/>
        </w:rPr>
        <w:t xml:space="preserve"> execution/content</w:t>
      </w:r>
    </w:p>
    <w:p w:rsidR="00B64575" w:rsidRPr="00021874" w:rsidRDefault="00B64575" w:rsidP="008F3F5E">
      <w:pPr>
        <w:numPr>
          <w:ilvl w:val="1"/>
          <w:numId w:val="4"/>
        </w:numPr>
        <w:tabs>
          <w:tab w:val="left" w:pos="567"/>
        </w:tabs>
        <w:jc w:val="both"/>
      </w:pPr>
      <w:r w:rsidRPr="00021874">
        <w:t xml:space="preserve">The tenderer shall submit a </w:t>
      </w:r>
      <w:r w:rsidR="00D2328C" w:rsidRPr="00021874">
        <w:t>bid</w:t>
      </w:r>
      <w:r w:rsidR="002615DC">
        <w:t xml:space="preserve"> till 19 September 2018, 2</w:t>
      </w:r>
      <w:bookmarkStart w:id="0" w:name="_GoBack"/>
      <w:bookmarkEnd w:id="0"/>
      <w:r w:rsidRPr="00021874">
        <w:t xml:space="preserve">:00 pm, addressing to the Customer - SLLC </w:t>
      </w:r>
      <w:r w:rsidR="008F3F5E" w:rsidRPr="00021874">
        <w:t>Latvijas Nacionālā opera un balets</w:t>
      </w:r>
      <w:r w:rsidRPr="00021874">
        <w:t>, 3 Aspazijas Boulevard, Riga, LV-1050, Latvia.</w:t>
      </w:r>
    </w:p>
    <w:p w:rsidR="00B64575" w:rsidRPr="00021874" w:rsidRDefault="00B64575" w:rsidP="00B64575">
      <w:pPr>
        <w:numPr>
          <w:ilvl w:val="1"/>
          <w:numId w:val="4"/>
        </w:numPr>
        <w:tabs>
          <w:tab w:val="left" w:pos="567"/>
        </w:tabs>
        <w:jc w:val="both"/>
      </w:pPr>
      <w:r w:rsidRPr="00021874">
        <w:t xml:space="preserve">The tenderer's </w:t>
      </w:r>
      <w:r w:rsidR="00D2328C" w:rsidRPr="00021874">
        <w:t>bid</w:t>
      </w:r>
      <w:r w:rsidRPr="00021874">
        <w:t xml:space="preserve"> </w:t>
      </w:r>
      <w:r w:rsidR="00D2328C" w:rsidRPr="00021874">
        <w:t>shall be</w:t>
      </w:r>
      <w:r w:rsidRPr="00021874">
        <w:t xml:space="preserve"> valid for 30 days from the day the </w:t>
      </w:r>
      <w:r w:rsidR="00D2328C" w:rsidRPr="00021874">
        <w:t>bid</w:t>
      </w:r>
      <w:r w:rsidRPr="00021874">
        <w:t xml:space="preserve"> was opened.</w:t>
      </w:r>
    </w:p>
    <w:p w:rsidR="00B64575" w:rsidRPr="00021874" w:rsidRDefault="00B64575" w:rsidP="00B64575">
      <w:pPr>
        <w:numPr>
          <w:ilvl w:val="1"/>
          <w:numId w:val="4"/>
        </w:numPr>
        <w:tabs>
          <w:tab w:val="left" w:pos="567"/>
        </w:tabs>
        <w:jc w:val="both"/>
      </w:pPr>
      <w:r w:rsidRPr="00021874">
        <w:t xml:space="preserve">The </w:t>
      </w:r>
      <w:r w:rsidR="00D2328C" w:rsidRPr="00021874">
        <w:t>tenderer's bid shall</w:t>
      </w:r>
      <w:r w:rsidRPr="00021874">
        <w:t xml:space="preserve"> consist of:</w:t>
      </w:r>
    </w:p>
    <w:p w:rsidR="00B64575" w:rsidRPr="00021874" w:rsidRDefault="00D2328C" w:rsidP="00B64575">
      <w:pPr>
        <w:numPr>
          <w:ilvl w:val="1"/>
          <w:numId w:val="4"/>
        </w:numPr>
        <w:tabs>
          <w:tab w:val="left" w:pos="567"/>
        </w:tabs>
        <w:jc w:val="both"/>
      </w:pPr>
      <w:r w:rsidRPr="00021874">
        <w:t>An a</w:t>
      </w:r>
      <w:r w:rsidR="00B64575" w:rsidRPr="00021874">
        <w:t>pplication for participation in procurement, filled in according to the form attached to the Regulations (Annex 1 to the Regulations).</w:t>
      </w:r>
    </w:p>
    <w:p w:rsidR="00B64575" w:rsidRPr="00021874" w:rsidRDefault="00B64575" w:rsidP="00B64575">
      <w:pPr>
        <w:numPr>
          <w:ilvl w:val="1"/>
          <w:numId w:val="4"/>
        </w:numPr>
        <w:tabs>
          <w:tab w:val="left" w:pos="567"/>
        </w:tabs>
        <w:jc w:val="both"/>
      </w:pPr>
      <w:r w:rsidRPr="00021874">
        <w:t xml:space="preserve">The technical and financial </w:t>
      </w:r>
      <w:r w:rsidR="00D2328C" w:rsidRPr="00021874">
        <w:t>bid</w:t>
      </w:r>
      <w:r w:rsidRPr="00021874">
        <w:t xml:space="preserve">, completed in accordance with the form attached to the </w:t>
      </w:r>
      <w:r w:rsidR="00D2328C" w:rsidRPr="00021874">
        <w:t>R</w:t>
      </w:r>
      <w:r w:rsidRPr="00021874">
        <w:t>egulations (Annex</w:t>
      </w:r>
      <w:r w:rsidR="00D2328C" w:rsidRPr="00021874">
        <w:t xml:space="preserve"> 3</w:t>
      </w:r>
      <w:r w:rsidRPr="00021874">
        <w:t xml:space="preserve"> to the Regulations).</w:t>
      </w:r>
    </w:p>
    <w:p w:rsidR="00B64575" w:rsidRPr="00021874" w:rsidRDefault="00B64575" w:rsidP="00B64575">
      <w:pPr>
        <w:numPr>
          <w:ilvl w:val="1"/>
          <w:numId w:val="4"/>
        </w:numPr>
        <w:tabs>
          <w:tab w:val="left" w:pos="567"/>
        </w:tabs>
        <w:jc w:val="both"/>
      </w:pPr>
      <w:r w:rsidRPr="00021874">
        <w:t xml:space="preserve">The </w:t>
      </w:r>
      <w:r w:rsidR="00D2328C" w:rsidRPr="00021874">
        <w:t>bid</w:t>
      </w:r>
      <w:r w:rsidRPr="00021874">
        <w:t xml:space="preserve"> </w:t>
      </w:r>
      <w:r w:rsidR="002374CD" w:rsidRPr="00021874">
        <w:t>must</w:t>
      </w:r>
      <w:r w:rsidRPr="00021874">
        <w:t xml:space="preserve"> be submitted in a closed, sealed envelope with the inscription "P</w:t>
      </w:r>
      <w:r w:rsidR="002374CD" w:rsidRPr="00021874">
        <w:t xml:space="preserve">rocurement </w:t>
      </w:r>
      <w:r w:rsidRPr="00021874">
        <w:t xml:space="preserve">of a 5-string </w:t>
      </w:r>
      <w:r w:rsidR="006B099F" w:rsidRPr="00021874">
        <w:t>double bass</w:t>
      </w:r>
      <w:r w:rsidRPr="00021874">
        <w:t xml:space="preserve"> for the needs of the Latvian National Opera and Ballet", identification No. LNO 2018/13. The envelope must indicate the </w:t>
      </w:r>
      <w:r w:rsidR="002374CD" w:rsidRPr="00021874">
        <w:t>t</w:t>
      </w:r>
      <w:r w:rsidRPr="00021874">
        <w:t>enderer's name, address, telephone, and a clearly legible warning</w:t>
      </w:r>
      <w:r w:rsidR="002374CD" w:rsidRPr="00021874">
        <w:t>:</w:t>
      </w:r>
      <w:r w:rsidRPr="00021874">
        <w:t xml:space="preserve"> "</w:t>
      </w:r>
      <w:r w:rsidR="002374CD" w:rsidRPr="00021874">
        <w:t>Do not open the e</w:t>
      </w:r>
      <w:r w:rsidRPr="00021874">
        <w:t xml:space="preserve">nvelope until </w:t>
      </w:r>
      <w:r w:rsidR="002374CD" w:rsidRPr="00021874">
        <w:t xml:space="preserve">19 </w:t>
      </w:r>
      <w:r w:rsidRPr="00021874">
        <w:t>September 2018, 2:00 pm."</w:t>
      </w:r>
    </w:p>
    <w:p w:rsidR="00467EEF" w:rsidRPr="00021874" w:rsidRDefault="002374CD" w:rsidP="00D2328C">
      <w:pPr>
        <w:numPr>
          <w:ilvl w:val="1"/>
          <w:numId w:val="4"/>
        </w:numPr>
        <w:tabs>
          <w:tab w:val="left" w:pos="567"/>
        </w:tabs>
        <w:jc w:val="both"/>
      </w:pPr>
      <w:r w:rsidRPr="00021874">
        <w:t xml:space="preserve">The bid </w:t>
      </w:r>
      <w:r w:rsidR="00B64575" w:rsidRPr="00021874">
        <w:t xml:space="preserve">must be prepared in Latvian or in English. </w:t>
      </w:r>
    </w:p>
    <w:p w:rsidR="002374CD" w:rsidRPr="00021874" w:rsidRDefault="002374CD" w:rsidP="002374CD">
      <w:pPr>
        <w:tabs>
          <w:tab w:val="left" w:pos="567"/>
        </w:tabs>
        <w:ind w:left="360"/>
        <w:jc w:val="both"/>
      </w:pPr>
    </w:p>
    <w:p w:rsidR="003A4B0D" w:rsidRPr="00021874" w:rsidRDefault="002374CD" w:rsidP="002374CD">
      <w:pPr>
        <w:numPr>
          <w:ilvl w:val="0"/>
          <w:numId w:val="6"/>
        </w:numPr>
        <w:jc w:val="both"/>
        <w:rPr>
          <w:b/>
        </w:rPr>
      </w:pPr>
      <w:r w:rsidRPr="00021874">
        <w:rPr>
          <w:b/>
        </w:rPr>
        <w:t xml:space="preserve">Bid selection and procurement contract </w:t>
      </w:r>
    </w:p>
    <w:p w:rsidR="00F65FC4" w:rsidRPr="00021874" w:rsidRDefault="00DC319F" w:rsidP="00F65FC4">
      <w:pPr>
        <w:pStyle w:val="ListParagraph"/>
        <w:numPr>
          <w:ilvl w:val="1"/>
          <w:numId w:val="6"/>
        </w:numPr>
        <w:ind w:right="-285"/>
        <w:jc w:val="both"/>
      </w:pPr>
      <w:r w:rsidRPr="00021874">
        <w:lastRenderedPageBreak/>
        <w:t xml:space="preserve"> </w:t>
      </w:r>
      <w:r w:rsidR="00F65FC4" w:rsidRPr="00021874">
        <w:t>The procurement commission shall choose a tenderer to conclude a procurement contract with, whose bid complies with all requirements of the Customer and the bid is determined to be the most economically advantageous, by evaluating the price only. Each Procurement Part has a separate procurement contract.</w:t>
      </w:r>
    </w:p>
    <w:p w:rsidR="00F65FC4" w:rsidRPr="00021874" w:rsidRDefault="00F65FC4" w:rsidP="00F65FC4">
      <w:pPr>
        <w:pStyle w:val="ListParagraph"/>
        <w:numPr>
          <w:ilvl w:val="1"/>
          <w:numId w:val="6"/>
        </w:numPr>
        <w:ind w:right="-285"/>
        <w:jc w:val="both"/>
      </w:pPr>
      <w:r w:rsidRPr="00021874">
        <w:t xml:space="preserve"> Within three working days after the decision of the procurement commission is taken, the Customer shall inform all tenderers of the results of the Procurement. The contracting authority shall be entitled to terminate the Procurement and not to conclude the contract if it has an objective justification.</w:t>
      </w:r>
    </w:p>
    <w:p w:rsidR="00DC319F" w:rsidRPr="00021874" w:rsidRDefault="00DC319F" w:rsidP="00DC319F">
      <w:pPr>
        <w:pStyle w:val="ListParagraph"/>
        <w:ind w:left="360" w:right="-285"/>
        <w:jc w:val="both"/>
      </w:pPr>
    </w:p>
    <w:p w:rsidR="001718FE" w:rsidRPr="00021874" w:rsidRDefault="001718FE" w:rsidP="001718FE">
      <w:pPr>
        <w:suppressAutoHyphens/>
        <w:autoSpaceDN w:val="0"/>
        <w:jc w:val="both"/>
        <w:textAlignment w:val="baseline"/>
      </w:pPr>
      <w:r w:rsidRPr="00021874">
        <w:t>Annexes</w:t>
      </w:r>
      <w:r w:rsidR="00467EEF" w:rsidRPr="00021874">
        <w:t>:</w:t>
      </w:r>
    </w:p>
    <w:p w:rsidR="001718FE" w:rsidRPr="00021874" w:rsidRDefault="00F65FC4" w:rsidP="001718FE">
      <w:pPr>
        <w:suppressAutoHyphens/>
        <w:autoSpaceDN w:val="0"/>
        <w:jc w:val="both"/>
        <w:textAlignment w:val="baseline"/>
      </w:pPr>
      <w:r w:rsidRPr="00021874">
        <w:t>Annex 1 - Application/</w:t>
      </w:r>
      <w:r w:rsidR="001718FE" w:rsidRPr="00021874">
        <w:t>I</w:t>
      </w:r>
      <w:r w:rsidRPr="00021874">
        <w:t xml:space="preserve">nformation on the </w:t>
      </w:r>
      <w:r w:rsidR="001718FE" w:rsidRPr="00021874">
        <w:t>Tenderer</w:t>
      </w:r>
      <w:r w:rsidRPr="00021874">
        <w:t xml:space="preserve"> on </w:t>
      </w:r>
      <w:r w:rsidR="001718FE" w:rsidRPr="00021874">
        <w:t xml:space="preserve">1 </w:t>
      </w:r>
      <w:r w:rsidRPr="00021874">
        <w:t>page;</w:t>
      </w:r>
    </w:p>
    <w:p w:rsidR="00F65FC4" w:rsidRPr="00021874" w:rsidRDefault="00F65FC4" w:rsidP="001718FE">
      <w:pPr>
        <w:suppressAutoHyphens/>
        <w:autoSpaceDN w:val="0"/>
        <w:jc w:val="both"/>
        <w:textAlignment w:val="baseline"/>
      </w:pPr>
      <w:r w:rsidRPr="00021874">
        <w:t xml:space="preserve">Annex 2 - Technical </w:t>
      </w:r>
      <w:r w:rsidR="001718FE" w:rsidRPr="00021874">
        <w:t>S</w:t>
      </w:r>
      <w:r w:rsidRPr="00021874">
        <w:t>pecification</w:t>
      </w:r>
      <w:r w:rsidR="001718FE" w:rsidRPr="00021874">
        <w:t>s</w:t>
      </w:r>
      <w:r w:rsidRPr="00021874">
        <w:t xml:space="preserve"> on </w:t>
      </w:r>
      <w:r w:rsidR="001718FE" w:rsidRPr="00021874">
        <w:t xml:space="preserve">1 </w:t>
      </w:r>
      <w:r w:rsidRPr="00021874">
        <w:t>page;</w:t>
      </w:r>
    </w:p>
    <w:p w:rsidR="001718FE" w:rsidRPr="00021874" w:rsidRDefault="001718FE" w:rsidP="001718FE">
      <w:pPr>
        <w:pStyle w:val="naisf"/>
        <w:tabs>
          <w:tab w:val="left" w:pos="709"/>
        </w:tabs>
        <w:spacing w:before="0" w:beforeAutospacing="0" w:after="0" w:afterAutospacing="0"/>
        <w:contextualSpacing/>
      </w:pPr>
      <w:r w:rsidRPr="00021874">
        <w:t xml:space="preserve">Annex </w:t>
      </w:r>
      <w:r w:rsidR="00F65FC4" w:rsidRPr="00021874">
        <w:t xml:space="preserve">3 - Technical and </w:t>
      </w:r>
      <w:r w:rsidRPr="00021874">
        <w:t>F</w:t>
      </w:r>
      <w:r w:rsidR="00F65FC4" w:rsidRPr="00021874">
        <w:t xml:space="preserve">inancial </w:t>
      </w:r>
      <w:r w:rsidRPr="00021874">
        <w:t>Bid</w:t>
      </w:r>
      <w:r w:rsidR="00F65FC4" w:rsidRPr="00021874">
        <w:t xml:space="preserve"> </w:t>
      </w:r>
      <w:r w:rsidRPr="00021874">
        <w:t>F</w:t>
      </w:r>
      <w:r w:rsidR="00F65FC4" w:rsidRPr="00021874">
        <w:t xml:space="preserve">orm on </w:t>
      </w:r>
      <w:r w:rsidRPr="00021874">
        <w:t xml:space="preserve">1 </w:t>
      </w:r>
      <w:r w:rsidR="00F65FC4" w:rsidRPr="00021874">
        <w:t>page</w:t>
      </w:r>
    </w:p>
    <w:p w:rsidR="00A84619" w:rsidRPr="00021874" w:rsidRDefault="000C0C4D" w:rsidP="00BF0990">
      <w:pPr>
        <w:pStyle w:val="naisf"/>
        <w:tabs>
          <w:tab w:val="left" w:pos="709"/>
        </w:tabs>
        <w:spacing w:before="0" w:beforeAutospacing="0" w:after="0" w:afterAutospacing="0"/>
      </w:pPr>
      <w:r w:rsidRPr="00021874">
        <w:t>.</w:t>
      </w:r>
    </w:p>
    <w:p w:rsidR="00467EEF" w:rsidRPr="00021874" w:rsidRDefault="00467EEF" w:rsidP="00467EEF">
      <w:pPr>
        <w:pStyle w:val="Stils4"/>
        <w:numPr>
          <w:ilvl w:val="0"/>
          <w:numId w:val="0"/>
        </w:numPr>
        <w:ind w:left="1418" w:hanging="709"/>
        <w:rPr>
          <w:sz w:val="24"/>
          <w:szCs w:val="24"/>
          <w:lang w:val="en-GB" w:eastAsia="en-US" w:bidi="ar-SA"/>
        </w:rPr>
      </w:pPr>
    </w:p>
    <w:p w:rsidR="002C1672" w:rsidRPr="00021874" w:rsidRDefault="002C1672" w:rsidP="00BF0990">
      <w:pPr>
        <w:spacing w:line="276" w:lineRule="auto"/>
        <w:jc w:val="right"/>
      </w:pPr>
    </w:p>
    <w:p w:rsidR="00E76339" w:rsidRPr="00021874" w:rsidRDefault="00E76339" w:rsidP="00BF0990">
      <w:pPr>
        <w:spacing w:line="276" w:lineRule="auto"/>
        <w:jc w:val="right"/>
      </w:pPr>
    </w:p>
    <w:p w:rsidR="003E5777" w:rsidRPr="00021874" w:rsidRDefault="003E5777" w:rsidP="00BF0990">
      <w:pPr>
        <w:spacing w:line="276" w:lineRule="auto"/>
        <w:jc w:val="right"/>
      </w:pPr>
    </w:p>
    <w:p w:rsidR="003E5777" w:rsidRPr="00021874" w:rsidRDefault="003E5777" w:rsidP="00BF0990">
      <w:pPr>
        <w:spacing w:line="276" w:lineRule="auto"/>
        <w:jc w:val="right"/>
      </w:pPr>
    </w:p>
    <w:p w:rsidR="00F75319" w:rsidRPr="00021874" w:rsidRDefault="00F75319" w:rsidP="00E6780A">
      <w:pPr>
        <w:spacing w:line="276" w:lineRule="auto"/>
        <w:rPr>
          <w:b/>
        </w:rPr>
      </w:pPr>
    </w:p>
    <w:p w:rsidR="00F75319" w:rsidRPr="00021874" w:rsidRDefault="00F75319" w:rsidP="00526132">
      <w:pPr>
        <w:spacing w:line="276" w:lineRule="auto"/>
        <w:jc w:val="right"/>
        <w:rPr>
          <w:b/>
        </w:rPr>
      </w:pPr>
    </w:p>
    <w:p w:rsidR="00F75319" w:rsidRPr="00021874" w:rsidRDefault="00F75319"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D72C6B" w:rsidRPr="00021874" w:rsidRDefault="00D72C6B" w:rsidP="00526132">
      <w:pPr>
        <w:spacing w:line="276" w:lineRule="auto"/>
        <w:jc w:val="right"/>
        <w:rPr>
          <w:b/>
        </w:rPr>
      </w:pPr>
    </w:p>
    <w:p w:rsidR="00321CDA" w:rsidRPr="00021874" w:rsidRDefault="00321CDA" w:rsidP="0095637C">
      <w:pPr>
        <w:spacing w:line="276" w:lineRule="auto"/>
        <w:rPr>
          <w:b/>
        </w:rPr>
      </w:pPr>
    </w:p>
    <w:p w:rsidR="00E26BA9" w:rsidRPr="00021874" w:rsidRDefault="001718FE" w:rsidP="00526132">
      <w:pPr>
        <w:spacing w:line="276" w:lineRule="auto"/>
        <w:jc w:val="right"/>
        <w:rPr>
          <w:b/>
          <w:i/>
        </w:rPr>
      </w:pPr>
      <w:r w:rsidRPr="00021874">
        <w:rPr>
          <w:b/>
        </w:rPr>
        <w:lastRenderedPageBreak/>
        <w:t xml:space="preserve">Annex </w:t>
      </w:r>
      <w:r w:rsidR="00467EEF" w:rsidRPr="00021874">
        <w:rPr>
          <w:b/>
        </w:rPr>
        <w:t>1</w:t>
      </w:r>
    </w:p>
    <w:p w:rsidR="00E26BA9" w:rsidRPr="00021874" w:rsidRDefault="001718FE" w:rsidP="00BF0990">
      <w:pPr>
        <w:jc w:val="right"/>
        <w:rPr>
          <w:lang w:eastAsia="lv-LV" w:bidi="lo-LA"/>
        </w:rPr>
      </w:pPr>
      <w:r w:rsidRPr="00021874">
        <w:rPr>
          <w:lang w:eastAsia="lv-LV" w:bidi="lo-LA"/>
        </w:rPr>
        <w:t>To the Procurement Regulations</w:t>
      </w:r>
    </w:p>
    <w:p w:rsidR="00467EEF" w:rsidRPr="00021874" w:rsidRDefault="00467EEF" w:rsidP="00467EEF">
      <w:pPr>
        <w:pStyle w:val="Heading9"/>
        <w:tabs>
          <w:tab w:val="center" w:pos="4702"/>
          <w:tab w:val="left" w:pos="6420"/>
        </w:tabs>
        <w:spacing w:before="0"/>
        <w:jc w:val="right"/>
        <w:rPr>
          <w:rFonts w:ascii="Times New Roman" w:hAnsi="Times New Roman" w:cs="Times New Roman"/>
          <w:b/>
          <w:spacing w:val="-11"/>
          <w:sz w:val="24"/>
          <w:szCs w:val="24"/>
        </w:rPr>
      </w:pPr>
    </w:p>
    <w:p w:rsidR="001718FE" w:rsidRPr="00021874" w:rsidRDefault="001718FE" w:rsidP="001718FE">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rPr>
      </w:pPr>
      <w:r w:rsidRPr="00021874">
        <w:rPr>
          <w:rFonts w:ascii="Times New Roman" w:hAnsi="Times New Roman" w:cs="Times New Roman"/>
          <w:i w:val="0"/>
          <w:color w:val="000000" w:themeColor="text1"/>
          <w:spacing w:val="-11"/>
          <w:sz w:val="24"/>
          <w:szCs w:val="24"/>
        </w:rPr>
        <w:t xml:space="preserve">Application to participate in the Procurement of a 5-string </w:t>
      </w:r>
      <w:r w:rsidR="006B099F" w:rsidRPr="00021874">
        <w:rPr>
          <w:rFonts w:ascii="Times New Roman" w:hAnsi="Times New Roman" w:cs="Times New Roman"/>
          <w:i w:val="0"/>
          <w:color w:val="000000" w:themeColor="text1"/>
          <w:spacing w:val="-11"/>
          <w:sz w:val="24"/>
          <w:szCs w:val="24"/>
        </w:rPr>
        <w:t>double bass</w:t>
      </w:r>
      <w:r w:rsidRPr="00021874">
        <w:rPr>
          <w:rFonts w:ascii="Times New Roman" w:hAnsi="Times New Roman" w:cs="Times New Roman"/>
          <w:i w:val="0"/>
          <w:color w:val="000000" w:themeColor="text1"/>
          <w:spacing w:val="-11"/>
          <w:sz w:val="24"/>
          <w:szCs w:val="24"/>
        </w:rPr>
        <w:t xml:space="preserve"> for the needs of the Latvian National Opera and Ballet, </w:t>
      </w:r>
    </w:p>
    <w:p w:rsidR="00467EEF" w:rsidRPr="00021874" w:rsidRDefault="001718FE" w:rsidP="00467EEF">
      <w:pPr>
        <w:pStyle w:val="Heading9"/>
        <w:tabs>
          <w:tab w:val="center" w:pos="4702"/>
          <w:tab w:val="left" w:pos="6420"/>
        </w:tabs>
        <w:spacing w:before="0"/>
        <w:jc w:val="center"/>
        <w:rPr>
          <w:rFonts w:ascii="Times New Roman" w:hAnsi="Times New Roman" w:cs="Times New Roman"/>
          <w:i w:val="0"/>
          <w:color w:val="000000" w:themeColor="text1"/>
          <w:spacing w:val="-11"/>
          <w:sz w:val="24"/>
          <w:szCs w:val="24"/>
        </w:rPr>
      </w:pPr>
      <w:r w:rsidRPr="00021874">
        <w:rPr>
          <w:rFonts w:ascii="Times New Roman" w:hAnsi="Times New Roman" w:cs="Times New Roman"/>
          <w:i w:val="0"/>
          <w:color w:val="000000" w:themeColor="text1"/>
          <w:spacing w:val="-11"/>
          <w:sz w:val="24"/>
          <w:szCs w:val="24"/>
        </w:rPr>
        <w:t>identification No.</w:t>
      </w:r>
      <w:r w:rsidR="009E459A" w:rsidRPr="00021874">
        <w:rPr>
          <w:rFonts w:ascii="Times New Roman" w:hAnsi="Times New Roman" w:cs="Times New Roman"/>
          <w:i w:val="0"/>
          <w:color w:val="000000" w:themeColor="text1"/>
          <w:spacing w:val="-11"/>
          <w:sz w:val="24"/>
          <w:szCs w:val="24"/>
        </w:rPr>
        <w:t>2018/13</w:t>
      </w:r>
    </w:p>
    <w:p w:rsidR="00467EEF" w:rsidRPr="00021874" w:rsidRDefault="00467EEF" w:rsidP="00467EEF">
      <w:pPr>
        <w:jc w:val="both"/>
        <w:rPr>
          <w:lang w:eastAsia="lv-LV" w:bidi="lo-LA"/>
        </w:rPr>
      </w:pPr>
    </w:p>
    <w:tbl>
      <w:tblPr>
        <w:tblW w:w="9352" w:type="dxa"/>
        <w:tblBorders>
          <w:bottom w:val="single" w:sz="6" w:space="0" w:color="auto"/>
        </w:tblBorders>
        <w:tblLook w:val="01E0" w:firstRow="1" w:lastRow="1" w:firstColumn="1" w:lastColumn="1" w:noHBand="0" w:noVBand="0"/>
      </w:tblPr>
      <w:tblGrid>
        <w:gridCol w:w="14570"/>
      </w:tblGrid>
      <w:tr w:rsidR="00467EEF" w:rsidRPr="00021874" w:rsidTr="00164E8A">
        <w:trPr>
          <w:trHeight w:val="3725"/>
        </w:trPr>
        <w:tc>
          <w:tcPr>
            <w:tcW w:w="9352" w:type="dxa"/>
          </w:tcPr>
          <w:tbl>
            <w:tblPr>
              <w:tblW w:w="143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814"/>
              <w:gridCol w:w="10795"/>
            </w:tblGrid>
            <w:tr w:rsidR="00467EEF" w:rsidRPr="00021874" w:rsidTr="00D72C6B">
              <w:trPr>
                <w:trHeight w:val="703"/>
              </w:trPr>
              <w:tc>
                <w:tcPr>
                  <w:tcW w:w="739" w:type="dxa"/>
                </w:tcPr>
                <w:p w:rsidR="00467EEF" w:rsidRPr="00021874" w:rsidRDefault="00467EEF" w:rsidP="00467EEF">
                  <w:pPr>
                    <w:numPr>
                      <w:ilvl w:val="0"/>
                      <w:numId w:val="8"/>
                    </w:numPr>
                    <w:contextualSpacing/>
                    <w:jc w:val="both"/>
                    <w:rPr>
                      <w:rFonts w:eastAsia="Calibri"/>
                    </w:rPr>
                  </w:pPr>
                </w:p>
              </w:tc>
              <w:tc>
                <w:tcPr>
                  <w:tcW w:w="2814" w:type="dxa"/>
                </w:tcPr>
                <w:p w:rsidR="00E6780A" w:rsidRPr="00021874" w:rsidRDefault="001718FE" w:rsidP="001718FE">
                  <w:pPr>
                    <w:tabs>
                      <w:tab w:val="right" w:pos="0"/>
                      <w:tab w:val="center" w:pos="4153"/>
                      <w:tab w:val="right" w:pos="8306"/>
                    </w:tabs>
                    <w:rPr>
                      <w:i/>
                      <w:lang w:eastAsia="lv-LV" w:bidi="lo-LA"/>
                    </w:rPr>
                  </w:pPr>
                  <w:r w:rsidRPr="00021874">
                    <w:rPr>
                      <w:i/>
                      <w:lang w:eastAsia="lv-LV" w:bidi="lo-LA"/>
                    </w:rPr>
                    <w:t>Tenderer name, person's name, surname, position. Person authorized to sign the contract.</w:t>
                  </w:r>
                </w:p>
              </w:tc>
              <w:tc>
                <w:tcPr>
                  <w:tcW w:w="10795" w:type="dxa"/>
                </w:tcPr>
                <w:p w:rsidR="00E6780A" w:rsidRPr="00021874" w:rsidRDefault="00E6780A" w:rsidP="00DF0FB4">
                  <w:pPr>
                    <w:tabs>
                      <w:tab w:val="right" w:pos="0"/>
                      <w:tab w:val="center" w:pos="4153"/>
                      <w:tab w:val="right" w:pos="8306"/>
                    </w:tabs>
                    <w:rPr>
                      <w:i/>
                      <w:lang w:eastAsia="lv-LV" w:bidi="lo-LA"/>
                    </w:rPr>
                  </w:pPr>
                </w:p>
                <w:p w:rsidR="00D72C6B" w:rsidRPr="00021874" w:rsidRDefault="00D72C6B" w:rsidP="00DF0FB4">
                  <w:pPr>
                    <w:tabs>
                      <w:tab w:val="right" w:pos="0"/>
                      <w:tab w:val="center" w:pos="4153"/>
                      <w:tab w:val="right" w:pos="8306"/>
                    </w:tabs>
                    <w:rPr>
                      <w:i/>
                      <w:lang w:eastAsia="lv-LV" w:bidi="lo-LA"/>
                    </w:rPr>
                  </w:pPr>
                </w:p>
              </w:tc>
            </w:tr>
            <w:tr w:rsidR="00467EEF" w:rsidRPr="00021874" w:rsidTr="00D72C6B">
              <w:trPr>
                <w:trHeight w:val="234"/>
              </w:trPr>
              <w:tc>
                <w:tcPr>
                  <w:tcW w:w="739" w:type="dxa"/>
                </w:tcPr>
                <w:p w:rsidR="00467EEF" w:rsidRPr="00021874" w:rsidRDefault="00467EEF" w:rsidP="00467EEF">
                  <w:pPr>
                    <w:numPr>
                      <w:ilvl w:val="0"/>
                      <w:numId w:val="8"/>
                    </w:numPr>
                    <w:contextualSpacing/>
                    <w:jc w:val="both"/>
                    <w:rPr>
                      <w:rFonts w:eastAsia="Calibri"/>
                    </w:rPr>
                  </w:pPr>
                </w:p>
              </w:tc>
              <w:tc>
                <w:tcPr>
                  <w:tcW w:w="2814" w:type="dxa"/>
                </w:tcPr>
                <w:p w:rsidR="00467EEF" w:rsidRPr="00021874" w:rsidRDefault="001718FE" w:rsidP="001718FE">
                  <w:pPr>
                    <w:tabs>
                      <w:tab w:val="right" w:pos="0"/>
                      <w:tab w:val="center" w:pos="4153"/>
                      <w:tab w:val="right" w:pos="8306"/>
                    </w:tabs>
                    <w:rPr>
                      <w:i/>
                      <w:lang w:eastAsia="lv-LV" w:bidi="lo-LA"/>
                    </w:rPr>
                  </w:pPr>
                  <w:r w:rsidRPr="00021874">
                    <w:rPr>
                      <w:i/>
                      <w:lang w:eastAsia="lv-LV" w:bidi="lo-LA"/>
                    </w:rPr>
                    <w:t>Enterprise registration No.</w:t>
                  </w:r>
                </w:p>
              </w:tc>
              <w:tc>
                <w:tcPr>
                  <w:tcW w:w="10795" w:type="dxa"/>
                </w:tcPr>
                <w:p w:rsidR="00E6780A" w:rsidRPr="00021874" w:rsidRDefault="00E6780A" w:rsidP="00DF0FB4">
                  <w:pPr>
                    <w:tabs>
                      <w:tab w:val="right" w:pos="0"/>
                      <w:tab w:val="center" w:pos="4153"/>
                      <w:tab w:val="right" w:pos="8306"/>
                    </w:tabs>
                    <w:rPr>
                      <w:i/>
                      <w:lang w:eastAsia="lv-LV" w:bidi="lo-LA"/>
                    </w:rPr>
                  </w:pPr>
                </w:p>
                <w:p w:rsidR="00E6780A" w:rsidRPr="00021874" w:rsidRDefault="00E6780A" w:rsidP="00DF0FB4">
                  <w:pPr>
                    <w:tabs>
                      <w:tab w:val="right" w:pos="0"/>
                      <w:tab w:val="center" w:pos="4153"/>
                      <w:tab w:val="right" w:pos="8306"/>
                    </w:tabs>
                    <w:rPr>
                      <w:i/>
                      <w:lang w:eastAsia="lv-LV" w:bidi="lo-LA"/>
                    </w:rPr>
                  </w:pPr>
                </w:p>
              </w:tc>
            </w:tr>
            <w:tr w:rsidR="001718FE" w:rsidRPr="00021874" w:rsidTr="00D72C6B">
              <w:trPr>
                <w:trHeight w:val="459"/>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Legal address, zip code.</w:t>
                  </w:r>
                </w:p>
              </w:tc>
              <w:tc>
                <w:tcPr>
                  <w:tcW w:w="10795" w:type="dxa"/>
                </w:tcPr>
                <w:p w:rsidR="001718FE" w:rsidRPr="00021874" w:rsidRDefault="001718FE" w:rsidP="001718FE">
                  <w:pPr>
                    <w:tabs>
                      <w:tab w:val="right" w:pos="0"/>
                      <w:tab w:val="center" w:pos="4153"/>
                      <w:tab w:val="right" w:pos="8306"/>
                    </w:tabs>
                    <w:rPr>
                      <w:i/>
                      <w:lang w:eastAsia="lv-LV" w:bidi="lo-LA"/>
                    </w:rPr>
                  </w:pPr>
                </w:p>
                <w:p w:rsidR="001718FE" w:rsidRPr="00021874" w:rsidRDefault="001718FE" w:rsidP="001718FE">
                  <w:pPr>
                    <w:tabs>
                      <w:tab w:val="right" w:pos="0"/>
                      <w:tab w:val="center" w:pos="4153"/>
                      <w:tab w:val="right" w:pos="8306"/>
                    </w:tabs>
                    <w:rPr>
                      <w:i/>
                      <w:lang w:eastAsia="lv-LV" w:bidi="lo-LA"/>
                    </w:rPr>
                  </w:pPr>
                </w:p>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459"/>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Actual address, zip code:</w:t>
                  </w:r>
                </w:p>
              </w:tc>
              <w:tc>
                <w:tcPr>
                  <w:tcW w:w="10795" w:type="dxa"/>
                </w:tcPr>
                <w:p w:rsidR="001718FE" w:rsidRPr="00021874" w:rsidRDefault="001718FE" w:rsidP="001718FE">
                  <w:pPr>
                    <w:tabs>
                      <w:tab w:val="right" w:pos="0"/>
                      <w:tab w:val="center" w:pos="4153"/>
                      <w:tab w:val="right" w:pos="8306"/>
                    </w:tabs>
                    <w:rPr>
                      <w:i/>
                      <w:lang w:eastAsia="lv-LV" w:bidi="lo-LA"/>
                    </w:rPr>
                  </w:pPr>
                </w:p>
                <w:p w:rsidR="001718FE" w:rsidRPr="00021874" w:rsidRDefault="001718FE" w:rsidP="001718FE">
                  <w:pPr>
                    <w:tabs>
                      <w:tab w:val="right" w:pos="0"/>
                      <w:tab w:val="center" w:pos="4153"/>
                      <w:tab w:val="right" w:pos="8306"/>
                    </w:tabs>
                    <w:rPr>
                      <w:i/>
                      <w:lang w:eastAsia="lv-LV" w:bidi="lo-LA"/>
                    </w:rPr>
                  </w:pPr>
                </w:p>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34"/>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Bank account No.</w:t>
                  </w:r>
                </w:p>
              </w:tc>
              <w:tc>
                <w:tcPr>
                  <w:tcW w:w="10795" w:type="dxa"/>
                </w:tcPr>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25"/>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Bank code</w:t>
                  </w:r>
                </w:p>
              </w:tc>
              <w:tc>
                <w:tcPr>
                  <w:tcW w:w="10795" w:type="dxa"/>
                </w:tcPr>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34"/>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Bank name of the bank</w:t>
                  </w:r>
                </w:p>
              </w:tc>
              <w:tc>
                <w:tcPr>
                  <w:tcW w:w="10795" w:type="dxa"/>
                </w:tcPr>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34"/>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Contact person</w:t>
                  </w:r>
                </w:p>
              </w:tc>
              <w:tc>
                <w:tcPr>
                  <w:tcW w:w="10795" w:type="dxa"/>
                </w:tcPr>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34"/>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 xml:space="preserve">Phone </w:t>
                  </w:r>
                </w:p>
              </w:tc>
              <w:tc>
                <w:tcPr>
                  <w:tcW w:w="10795" w:type="dxa"/>
                </w:tcPr>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34"/>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 xml:space="preserve">Fax </w:t>
                  </w:r>
                </w:p>
              </w:tc>
              <w:tc>
                <w:tcPr>
                  <w:tcW w:w="10795" w:type="dxa"/>
                </w:tcPr>
                <w:p w:rsidR="001718FE" w:rsidRPr="00021874" w:rsidRDefault="001718FE" w:rsidP="001718FE">
                  <w:pPr>
                    <w:tabs>
                      <w:tab w:val="right" w:pos="0"/>
                      <w:tab w:val="center" w:pos="4153"/>
                      <w:tab w:val="right" w:pos="8306"/>
                    </w:tabs>
                    <w:rPr>
                      <w:b/>
                      <w:i/>
                      <w:lang w:eastAsia="lv-LV" w:bidi="lo-LA"/>
                    </w:rPr>
                  </w:pPr>
                </w:p>
              </w:tc>
            </w:tr>
            <w:tr w:rsidR="001718FE" w:rsidRPr="00021874" w:rsidTr="00D72C6B">
              <w:trPr>
                <w:trHeight w:val="225"/>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 xml:space="preserve">Mobile phone </w:t>
                  </w:r>
                </w:p>
              </w:tc>
              <w:tc>
                <w:tcPr>
                  <w:tcW w:w="10795" w:type="dxa"/>
                </w:tcPr>
                <w:p w:rsidR="001718FE" w:rsidRPr="00021874" w:rsidRDefault="001718FE" w:rsidP="001718FE">
                  <w:pPr>
                    <w:tabs>
                      <w:tab w:val="right" w:pos="0"/>
                      <w:tab w:val="center" w:pos="4153"/>
                      <w:tab w:val="right" w:pos="8306"/>
                    </w:tabs>
                    <w:rPr>
                      <w:i/>
                      <w:lang w:eastAsia="lv-LV" w:bidi="lo-LA"/>
                    </w:rPr>
                  </w:pPr>
                </w:p>
              </w:tc>
            </w:tr>
            <w:tr w:rsidR="001718FE" w:rsidRPr="00021874" w:rsidTr="00D72C6B">
              <w:trPr>
                <w:trHeight w:val="234"/>
              </w:trPr>
              <w:tc>
                <w:tcPr>
                  <w:tcW w:w="739" w:type="dxa"/>
                </w:tcPr>
                <w:p w:rsidR="001718FE" w:rsidRPr="00021874" w:rsidRDefault="001718FE" w:rsidP="001718FE">
                  <w:pPr>
                    <w:numPr>
                      <w:ilvl w:val="0"/>
                      <w:numId w:val="8"/>
                    </w:numPr>
                    <w:contextualSpacing/>
                    <w:jc w:val="both"/>
                    <w:rPr>
                      <w:rFonts w:eastAsia="Calibri"/>
                    </w:rPr>
                  </w:pPr>
                </w:p>
              </w:tc>
              <w:tc>
                <w:tcPr>
                  <w:tcW w:w="2814" w:type="dxa"/>
                </w:tcPr>
                <w:p w:rsidR="001718FE" w:rsidRPr="00021874" w:rsidRDefault="001718FE" w:rsidP="001718FE">
                  <w:r w:rsidRPr="00021874">
                    <w:t xml:space="preserve">E-mail </w:t>
                  </w:r>
                </w:p>
              </w:tc>
              <w:tc>
                <w:tcPr>
                  <w:tcW w:w="10795" w:type="dxa"/>
                </w:tcPr>
                <w:p w:rsidR="001718FE" w:rsidRPr="00021874" w:rsidRDefault="001718FE" w:rsidP="001718FE">
                  <w:pPr>
                    <w:tabs>
                      <w:tab w:val="right" w:pos="0"/>
                      <w:tab w:val="center" w:pos="4153"/>
                      <w:tab w:val="right" w:pos="8306"/>
                    </w:tabs>
                    <w:rPr>
                      <w:i/>
                      <w:lang w:eastAsia="lv-LV" w:bidi="lo-LA"/>
                    </w:rPr>
                  </w:pPr>
                </w:p>
              </w:tc>
            </w:tr>
          </w:tbl>
          <w:p w:rsidR="00467EEF" w:rsidRPr="00021874" w:rsidRDefault="00467EEF" w:rsidP="00DF0FB4">
            <w:pPr>
              <w:tabs>
                <w:tab w:val="center" w:pos="4153"/>
                <w:tab w:val="right" w:pos="8306"/>
              </w:tabs>
              <w:rPr>
                <w:lang w:eastAsia="lv-LV" w:bidi="lo-LA"/>
              </w:rPr>
            </w:pPr>
          </w:p>
        </w:tc>
      </w:tr>
    </w:tbl>
    <w:p w:rsidR="00467EEF" w:rsidRPr="00021874" w:rsidRDefault="00467EEF" w:rsidP="00467EEF">
      <w:pPr>
        <w:jc w:val="both"/>
        <w:rPr>
          <w:lang w:eastAsia="lv-LV" w:bidi="lo-LA"/>
        </w:rPr>
      </w:pPr>
    </w:p>
    <w:p w:rsidR="001E713F" w:rsidRPr="00021874" w:rsidRDefault="001E713F" w:rsidP="00467EEF">
      <w:pPr>
        <w:jc w:val="both"/>
        <w:rPr>
          <w:lang w:eastAsia="lv-LV" w:bidi="lo-LA"/>
        </w:rPr>
      </w:pPr>
    </w:p>
    <w:p w:rsidR="00467EEF" w:rsidRPr="00021874" w:rsidRDefault="00467EEF" w:rsidP="00467EEF">
      <w:pPr>
        <w:pBdr>
          <w:bottom w:val="single" w:sz="12" w:space="0" w:color="auto"/>
        </w:pBdr>
        <w:shd w:val="clear" w:color="auto" w:fill="FFFFFF"/>
        <w:overflowPunct w:val="0"/>
        <w:autoSpaceDE w:val="0"/>
        <w:autoSpaceDN w:val="0"/>
        <w:adjustRightInd w:val="0"/>
        <w:rPr>
          <w:spacing w:val="-12"/>
          <w:lang w:eastAsia="lv-LV" w:bidi="lo-LA"/>
        </w:rPr>
      </w:pPr>
    </w:p>
    <w:p w:rsidR="005A689B" w:rsidRPr="00021874" w:rsidRDefault="00467EEF" w:rsidP="006C6F80">
      <w:pPr>
        <w:ind w:left="720"/>
        <w:jc w:val="center"/>
      </w:pPr>
      <w:r w:rsidRPr="00021874">
        <w:t>(</w:t>
      </w:r>
      <w:r w:rsidR="001E713F" w:rsidRPr="00021874">
        <w:t>Tenderer's name and signature</w:t>
      </w:r>
      <w:r w:rsidRPr="00021874">
        <w:t>)</w:t>
      </w:r>
    </w:p>
    <w:p w:rsidR="005A689B" w:rsidRPr="00021874" w:rsidRDefault="005A689B" w:rsidP="00526132">
      <w:pPr>
        <w:spacing w:line="276" w:lineRule="auto"/>
        <w:jc w:val="right"/>
        <w:rPr>
          <w:b/>
          <w:sz w:val="22"/>
          <w:szCs w:val="22"/>
        </w:rPr>
      </w:pPr>
    </w:p>
    <w:p w:rsidR="001E713F" w:rsidRPr="00021874" w:rsidRDefault="001E713F" w:rsidP="001E713F">
      <w:pPr>
        <w:spacing w:line="276" w:lineRule="auto"/>
        <w:jc w:val="right"/>
        <w:rPr>
          <w:b/>
          <w:i/>
        </w:rPr>
      </w:pPr>
      <w:r w:rsidRPr="00021874">
        <w:rPr>
          <w:b/>
        </w:rPr>
        <w:lastRenderedPageBreak/>
        <w:t xml:space="preserve">Annex </w:t>
      </w:r>
      <w:r w:rsidR="006B099F" w:rsidRPr="00021874">
        <w:rPr>
          <w:b/>
        </w:rPr>
        <w:t>2</w:t>
      </w:r>
    </w:p>
    <w:p w:rsidR="001E713F" w:rsidRPr="00021874" w:rsidRDefault="001E713F" w:rsidP="001E713F">
      <w:pPr>
        <w:jc w:val="right"/>
        <w:rPr>
          <w:lang w:eastAsia="lv-LV" w:bidi="lo-LA"/>
        </w:rPr>
      </w:pPr>
      <w:r w:rsidRPr="00021874">
        <w:rPr>
          <w:lang w:eastAsia="lv-LV" w:bidi="lo-LA"/>
        </w:rPr>
        <w:t>To the Procurement Regulations</w:t>
      </w:r>
    </w:p>
    <w:p w:rsidR="00526132" w:rsidRPr="00021874" w:rsidRDefault="00526132" w:rsidP="00F556CF">
      <w:pPr>
        <w:spacing w:line="276" w:lineRule="auto"/>
        <w:jc w:val="right"/>
        <w:rPr>
          <w:b/>
        </w:rPr>
      </w:pPr>
    </w:p>
    <w:p w:rsidR="001E713F" w:rsidRPr="00021874" w:rsidRDefault="001E713F" w:rsidP="001E713F">
      <w:pPr>
        <w:jc w:val="center"/>
        <w:rPr>
          <w:b/>
          <w:color w:val="000000"/>
          <w:sz w:val="28"/>
          <w:szCs w:val="28"/>
          <w:lang w:eastAsia="lv-LV"/>
        </w:rPr>
      </w:pPr>
      <w:r w:rsidRPr="00021874">
        <w:rPr>
          <w:b/>
          <w:color w:val="000000"/>
          <w:sz w:val="28"/>
          <w:szCs w:val="28"/>
          <w:lang w:eastAsia="lv-LV"/>
        </w:rPr>
        <w:t>Customer requirements/technical specifications of the required musical instruments</w:t>
      </w:r>
    </w:p>
    <w:p w:rsidR="00321CDA" w:rsidRPr="00021874" w:rsidRDefault="001E713F" w:rsidP="001E713F">
      <w:pPr>
        <w:jc w:val="center"/>
        <w:rPr>
          <w:b/>
          <w:sz w:val="28"/>
          <w:szCs w:val="28"/>
        </w:rPr>
      </w:pPr>
      <w:r w:rsidRPr="00021874">
        <w:rPr>
          <w:b/>
          <w:color w:val="000000"/>
          <w:sz w:val="28"/>
          <w:szCs w:val="28"/>
          <w:lang w:eastAsia="lv-LV"/>
        </w:rPr>
        <w:t xml:space="preserve">both in Procurement Part 1 and Procurement Part </w:t>
      </w:r>
    </w:p>
    <w:p w:rsidR="00FD774B" w:rsidRPr="00021874" w:rsidRDefault="00FD774B" w:rsidP="006C6F80">
      <w:pPr>
        <w:jc w:val="center"/>
        <w:rPr>
          <w:b/>
          <w:sz w:val="28"/>
          <w:szCs w:val="28"/>
        </w:rPr>
      </w:pPr>
    </w:p>
    <w:tbl>
      <w:tblPr>
        <w:tblW w:w="7655" w:type="dxa"/>
        <w:tblInd w:w="704" w:type="dxa"/>
        <w:tblLook w:val="04A0" w:firstRow="1" w:lastRow="0" w:firstColumn="1" w:lastColumn="0" w:noHBand="0" w:noVBand="1"/>
      </w:tblPr>
      <w:tblGrid>
        <w:gridCol w:w="4820"/>
        <w:gridCol w:w="2835"/>
      </w:tblGrid>
      <w:tr w:rsidR="005F43C4" w:rsidRPr="00021874" w:rsidTr="00FD774B">
        <w:trPr>
          <w:trHeight w:val="322"/>
        </w:trPr>
        <w:tc>
          <w:tcPr>
            <w:tcW w:w="4820" w:type="dxa"/>
            <w:vMerge w:val="restart"/>
            <w:tcBorders>
              <w:top w:val="single" w:sz="4" w:space="0" w:color="auto"/>
              <w:left w:val="single" w:sz="4" w:space="0" w:color="auto"/>
              <w:bottom w:val="single" w:sz="4" w:space="0" w:color="000000"/>
            </w:tcBorders>
            <w:shd w:val="clear" w:color="auto" w:fill="auto"/>
            <w:noWrap/>
            <w:vAlign w:val="center"/>
            <w:hideMark/>
          </w:tcPr>
          <w:p w:rsidR="005F43C4" w:rsidRPr="00021874" w:rsidRDefault="001E713F" w:rsidP="001E713F">
            <w:pPr>
              <w:rPr>
                <w:b/>
                <w:color w:val="000000"/>
                <w:sz w:val="28"/>
                <w:szCs w:val="28"/>
                <w:lang w:eastAsia="lv-LV"/>
              </w:rPr>
            </w:pPr>
            <w:r w:rsidRPr="00021874">
              <w:rPr>
                <w:b/>
                <w:color w:val="000000"/>
                <w:sz w:val="28"/>
                <w:szCs w:val="28"/>
                <w:lang w:eastAsia="lv-LV"/>
              </w:rPr>
              <w:t>Technical Specifications:</w:t>
            </w:r>
          </w:p>
        </w:tc>
        <w:tc>
          <w:tcPr>
            <w:tcW w:w="2835" w:type="dxa"/>
            <w:vMerge w:val="restart"/>
            <w:tcBorders>
              <w:top w:val="single" w:sz="4" w:space="0" w:color="auto"/>
              <w:left w:val="nil"/>
              <w:bottom w:val="single" w:sz="4" w:space="0" w:color="000000"/>
              <w:right w:val="single" w:sz="4" w:space="0" w:color="auto"/>
            </w:tcBorders>
            <w:shd w:val="clear" w:color="auto" w:fill="auto"/>
            <w:vAlign w:val="center"/>
            <w:hideMark/>
          </w:tcPr>
          <w:p w:rsidR="005F43C4" w:rsidRPr="00021874" w:rsidRDefault="005F43C4" w:rsidP="00D72C6B">
            <w:pPr>
              <w:rPr>
                <w:color w:val="000000"/>
                <w:lang w:eastAsia="lv-LV"/>
              </w:rPr>
            </w:pPr>
          </w:p>
        </w:tc>
      </w:tr>
      <w:tr w:rsidR="005F43C4" w:rsidRPr="00021874" w:rsidTr="00FD774B">
        <w:trPr>
          <w:trHeight w:val="517"/>
        </w:trPr>
        <w:tc>
          <w:tcPr>
            <w:tcW w:w="4820" w:type="dxa"/>
            <w:vMerge/>
            <w:tcBorders>
              <w:top w:val="single" w:sz="4" w:space="0" w:color="000000"/>
              <w:left w:val="single" w:sz="4" w:space="0" w:color="auto"/>
              <w:bottom w:val="single" w:sz="4" w:space="0" w:color="000000"/>
            </w:tcBorders>
            <w:vAlign w:val="center"/>
            <w:hideMark/>
          </w:tcPr>
          <w:p w:rsidR="005F43C4" w:rsidRPr="00021874" w:rsidRDefault="005F43C4" w:rsidP="00D72C6B">
            <w:pPr>
              <w:rPr>
                <w:color w:val="000000"/>
                <w:lang w:eastAsia="lv-LV"/>
              </w:rPr>
            </w:pPr>
          </w:p>
        </w:tc>
        <w:tc>
          <w:tcPr>
            <w:tcW w:w="2835" w:type="dxa"/>
            <w:vMerge/>
            <w:tcBorders>
              <w:top w:val="single" w:sz="4" w:space="0" w:color="auto"/>
              <w:left w:val="nil"/>
              <w:bottom w:val="single" w:sz="4" w:space="0" w:color="000000"/>
              <w:right w:val="single" w:sz="4" w:space="0" w:color="auto"/>
            </w:tcBorders>
            <w:vAlign w:val="center"/>
            <w:hideMark/>
          </w:tcPr>
          <w:p w:rsidR="005F43C4" w:rsidRPr="00021874" w:rsidRDefault="005F43C4" w:rsidP="00D72C6B">
            <w:pPr>
              <w:rPr>
                <w:color w:val="000000"/>
                <w:lang w:eastAsia="lv-LV"/>
              </w:rPr>
            </w:pPr>
          </w:p>
        </w:tc>
      </w:tr>
      <w:tr w:rsidR="005F43C4" w:rsidRPr="00021874"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021874" w:rsidRDefault="002470D4" w:rsidP="00D72C6B">
            <w:pPr>
              <w:rPr>
                <w:color w:val="000000"/>
                <w:lang w:eastAsia="lv-LV"/>
              </w:rPr>
            </w:pPr>
            <w:r>
              <w:rPr>
                <w:color w:val="000000"/>
                <w:lang w:eastAsia="lv-LV"/>
              </w:rPr>
              <w:t>Amount</w:t>
            </w:r>
            <w:r w:rsidR="006B099F" w:rsidRPr="00021874">
              <w:rPr>
                <w:color w:val="000000"/>
                <w:lang w:eastAsia="lv-LV"/>
              </w:rPr>
              <w:t xml:space="preserve"> of strings</w:t>
            </w:r>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021874" w:rsidRDefault="005F43C4" w:rsidP="006B099F">
            <w:pPr>
              <w:jc w:val="center"/>
              <w:rPr>
                <w:color w:val="000000"/>
                <w:lang w:eastAsia="lv-LV"/>
              </w:rPr>
            </w:pPr>
            <w:r w:rsidRPr="00021874">
              <w:rPr>
                <w:color w:val="000000"/>
                <w:lang w:eastAsia="lv-LV"/>
              </w:rPr>
              <w:t xml:space="preserve">5 </w:t>
            </w:r>
            <w:r w:rsidR="006B099F" w:rsidRPr="00021874">
              <w:rPr>
                <w:color w:val="000000"/>
                <w:lang w:eastAsia="lv-LV"/>
              </w:rPr>
              <w:t>strings</w:t>
            </w:r>
          </w:p>
        </w:tc>
      </w:tr>
      <w:tr w:rsidR="005F43C4" w:rsidRPr="00021874"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021874" w:rsidRDefault="006B099F" w:rsidP="00D72C6B">
            <w:pPr>
              <w:rPr>
                <w:color w:val="000000"/>
                <w:lang w:eastAsia="lv-LV"/>
              </w:rPr>
            </w:pPr>
            <w:r w:rsidRPr="00021874">
              <w:rPr>
                <w:color w:val="000000"/>
                <w:lang w:eastAsia="lv-LV"/>
              </w:rPr>
              <w:t>Size</w:t>
            </w:r>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021874" w:rsidRDefault="005F43C4" w:rsidP="00D72C6B">
            <w:pPr>
              <w:jc w:val="center"/>
              <w:rPr>
                <w:color w:val="000000"/>
                <w:lang w:eastAsia="lv-LV"/>
              </w:rPr>
            </w:pPr>
            <w:r w:rsidRPr="00021874">
              <w:rPr>
                <w:color w:val="000000"/>
                <w:lang w:eastAsia="lv-LV"/>
              </w:rPr>
              <w:t>4/4</w:t>
            </w:r>
          </w:p>
        </w:tc>
      </w:tr>
      <w:tr w:rsidR="005F43C4" w:rsidRPr="00021874"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021874" w:rsidRDefault="006B099F" w:rsidP="00D72C6B">
            <w:pPr>
              <w:rPr>
                <w:color w:val="000000"/>
                <w:lang w:eastAsia="lv-LV"/>
              </w:rPr>
            </w:pPr>
            <w:r w:rsidRPr="00021874">
              <w:rPr>
                <w:color w:val="000000"/>
                <w:lang w:eastAsia="lv-LV"/>
              </w:rPr>
              <w:t>Vibrating string length</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F43C4" w:rsidRPr="00021874" w:rsidRDefault="005F3218" w:rsidP="005F3218">
            <w:pPr>
              <w:jc w:val="center"/>
              <w:rPr>
                <w:color w:val="000000"/>
                <w:lang w:eastAsia="lv-LV"/>
              </w:rPr>
            </w:pPr>
            <w:r w:rsidRPr="00021874">
              <w:rPr>
                <w:color w:val="000000"/>
                <w:lang w:eastAsia="lv-LV"/>
              </w:rPr>
              <w:t>u</w:t>
            </w:r>
            <w:r w:rsidR="006B099F" w:rsidRPr="00021874">
              <w:rPr>
                <w:color w:val="000000"/>
                <w:lang w:eastAsia="lv-LV"/>
              </w:rPr>
              <w:t xml:space="preserve">p to </w:t>
            </w:r>
            <w:r w:rsidR="005F43C4" w:rsidRPr="00021874">
              <w:rPr>
                <w:color w:val="000000"/>
                <w:lang w:eastAsia="lv-LV"/>
              </w:rPr>
              <w:t>10</w:t>
            </w:r>
            <w:r w:rsidR="00D17996" w:rsidRPr="00021874">
              <w:rPr>
                <w:color w:val="000000"/>
                <w:lang w:eastAsia="lv-LV"/>
              </w:rPr>
              <w:t xml:space="preserve">6 </w:t>
            </w:r>
            <w:r w:rsidR="005F43C4" w:rsidRPr="00021874">
              <w:rPr>
                <w:color w:val="000000"/>
                <w:lang w:eastAsia="lv-LV"/>
              </w:rPr>
              <w:t>cm</w:t>
            </w:r>
          </w:p>
        </w:tc>
      </w:tr>
      <w:tr w:rsidR="005F43C4" w:rsidRPr="00021874"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021874" w:rsidRDefault="006B099F" w:rsidP="000114A7">
            <w:pPr>
              <w:rPr>
                <w:color w:val="000000"/>
                <w:lang w:eastAsia="lv-LV"/>
              </w:rPr>
            </w:pPr>
            <w:r w:rsidRPr="00021874">
              <w:rPr>
                <w:color w:val="000000"/>
                <w:lang w:eastAsia="lv-LV"/>
              </w:rPr>
              <w:t xml:space="preserve">Back </w:t>
            </w:r>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021874" w:rsidRDefault="005F43C4" w:rsidP="005F3218">
            <w:pPr>
              <w:jc w:val="center"/>
              <w:rPr>
                <w:color w:val="000000"/>
                <w:lang w:eastAsia="lv-LV"/>
              </w:rPr>
            </w:pPr>
            <w:r w:rsidRPr="00021874">
              <w:rPr>
                <w:color w:val="000000"/>
                <w:lang w:eastAsia="lv-LV"/>
              </w:rPr>
              <w:t>velv</w:t>
            </w:r>
            <w:r w:rsidR="005F3218" w:rsidRPr="00021874">
              <w:rPr>
                <w:color w:val="000000"/>
                <w:lang w:eastAsia="lv-LV"/>
              </w:rPr>
              <w:t>e</w:t>
            </w:r>
            <w:r w:rsidRPr="00021874">
              <w:rPr>
                <w:color w:val="000000"/>
                <w:lang w:eastAsia="lv-LV"/>
              </w:rPr>
              <w:t>t</w:t>
            </w:r>
          </w:p>
        </w:tc>
      </w:tr>
      <w:tr w:rsidR="005F43C4" w:rsidRPr="00021874" w:rsidTr="00FD774B">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3C4" w:rsidRPr="00021874" w:rsidRDefault="006B099F" w:rsidP="00D72C6B">
            <w:pPr>
              <w:rPr>
                <w:color w:val="000000"/>
                <w:lang w:eastAsia="lv-LV"/>
              </w:rPr>
            </w:pPr>
            <w:r w:rsidRPr="00021874">
              <w:rPr>
                <w:color w:val="000000"/>
                <w:lang w:eastAsia="lv-LV"/>
              </w:rPr>
              <w:t>Mensuration</w:t>
            </w:r>
          </w:p>
        </w:tc>
        <w:tc>
          <w:tcPr>
            <w:tcW w:w="2835" w:type="dxa"/>
            <w:tcBorders>
              <w:top w:val="nil"/>
              <w:left w:val="nil"/>
              <w:bottom w:val="single" w:sz="4" w:space="0" w:color="auto"/>
              <w:right w:val="single" w:sz="4" w:space="0" w:color="auto"/>
            </w:tcBorders>
            <w:shd w:val="clear" w:color="auto" w:fill="auto"/>
            <w:noWrap/>
            <w:vAlign w:val="center"/>
            <w:hideMark/>
          </w:tcPr>
          <w:p w:rsidR="005F43C4" w:rsidRPr="00021874" w:rsidRDefault="005F43C4" w:rsidP="00D72C6B">
            <w:pPr>
              <w:jc w:val="center"/>
              <w:rPr>
                <w:color w:val="000000"/>
                <w:lang w:eastAsia="lv-LV"/>
              </w:rPr>
            </w:pPr>
            <w:r w:rsidRPr="00021874">
              <w:rPr>
                <w:color w:val="000000"/>
                <w:lang w:eastAsia="lv-LV"/>
              </w:rPr>
              <w:t>D</w:t>
            </w:r>
          </w:p>
        </w:tc>
      </w:tr>
    </w:tbl>
    <w:p w:rsidR="006C6F80" w:rsidRPr="00021874" w:rsidRDefault="006C6F80" w:rsidP="006C6F80">
      <w:pPr>
        <w:rPr>
          <w:color w:val="000000"/>
          <w:lang w:eastAsia="lv-LV"/>
        </w:rPr>
      </w:pPr>
    </w:p>
    <w:p w:rsidR="00DC56BA" w:rsidRPr="00021874" w:rsidRDefault="00DC56BA" w:rsidP="00DC56BA">
      <w:pPr>
        <w:rPr>
          <w:color w:val="000000"/>
          <w:lang w:eastAsia="lv-LV"/>
        </w:rPr>
      </w:pPr>
      <w:r w:rsidRPr="00021874">
        <w:rPr>
          <w:color w:val="000000"/>
          <w:lang w:eastAsia="lv-LV"/>
        </w:rPr>
        <w:t>Ludwig Glaesel Berliner Markneukirchen I/S and E.M.Pöllmann Geigenbaumeister Spezialist für Kontrabass meet the Customer’s requirements. The tenderer may offer analogues to these musical instruments.</w:t>
      </w:r>
    </w:p>
    <w:p w:rsidR="00DC56BA" w:rsidRPr="00021874" w:rsidRDefault="00DC56BA" w:rsidP="00DC56BA">
      <w:pPr>
        <w:rPr>
          <w:color w:val="000000"/>
          <w:lang w:eastAsia="lv-LV"/>
        </w:rPr>
      </w:pPr>
    </w:p>
    <w:p w:rsidR="00DC56BA" w:rsidRPr="00021874" w:rsidRDefault="00DC56BA" w:rsidP="00DC56BA">
      <w:pPr>
        <w:rPr>
          <w:color w:val="000000"/>
          <w:lang w:eastAsia="lv-LV"/>
        </w:rPr>
      </w:pPr>
      <w:r w:rsidRPr="00021874">
        <w:rPr>
          <w:color w:val="000000"/>
          <w:lang w:eastAsia="lv-LV"/>
        </w:rPr>
        <w:t>Other Customer's requirements at the Procurement:</w:t>
      </w:r>
    </w:p>
    <w:p w:rsidR="00DC56BA" w:rsidRPr="00021874" w:rsidRDefault="00DC56BA" w:rsidP="00DC56BA">
      <w:pPr>
        <w:pStyle w:val="ListParagraph"/>
        <w:numPr>
          <w:ilvl w:val="0"/>
          <w:numId w:val="23"/>
        </w:numPr>
        <w:spacing w:after="200" w:line="276" w:lineRule="auto"/>
      </w:pPr>
      <w:r w:rsidRPr="00021874">
        <w:t xml:space="preserve">Musical instruments </w:t>
      </w:r>
      <w:r w:rsidR="000114A7" w:rsidRPr="00021874">
        <w:t xml:space="preserve">may </w:t>
      </w:r>
      <w:r w:rsidRPr="00021874">
        <w:t>not be less than 40 years of age.</w:t>
      </w:r>
    </w:p>
    <w:p w:rsidR="00DC56BA" w:rsidRPr="00021874" w:rsidRDefault="00DC56BA" w:rsidP="00DC56BA">
      <w:pPr>
        <w:pStyle w:val="ListParagraph"/>
        <w:numPr>
          <w:ilvl w:val="0"/>
          <w:numId w:val="23"/>
        </w:numPr>
        <w:spacing w:after="200" w:line="276" w:lineRule="auto"/>
      </w:pPr>
      <w:r w:rsidRPr="00021874">
        <w:t>Musical instruments must be in good technical condition - free of defects, with whole, unlatched original plates, including without cracks. The lack of defects must be demonstrated - the tenderer adds photos</w:t>
      </w:r>
      <w:r w:rsidR="000114A7" w:rsidRPr="00021874">
        <w:t>:</w:t>
      </w:r>
      <w:r w:rsidRPr="00021874">
        <w:t xml:space="preserve"> close-ups of both plates and general view</w:t>
      </w:r>
      <w:r w:rsidR="00130828" w:rsidRPr="00021874">
        <w:t>s</w:t>
      </w:r>
      <w:r w:rsidRPr="00021874">
        <w:t xml:space="preserve"> of the double bass on both sides.</w:t>
      </w:r>
    </w:p>
    <w:p w:rsidR="00DC56BA" w:rsidRPr="00021874" w:rsidRDefault="000114A7" w:rsidP="00DC56BA">
      <w:pPr>
        <w:pStyle w:val="ListParagraph"/>
        <w:numPr>
          <w:ilvl w:val="0"/>
          <w:numId w:val="23"/>
        </w:numPr>
        <w:spacing w:after="200" w:line="276" w:lineRule="auto"/>
      </w:pPr>
      <w:r w:rsidRPr="00021874">
        <w:t>The t</w:t>
      </w:r>
      <w:r w:rsidR="00DC56BA" w:rsidRPr="00021874">
        <w:t xml:space="preserve">enderers </w:t>
      </w:r>
      <w:r w:rsidRPr="00021874">
        <w:t>must</w:t>
      </w:r>
      <w:r w:rsidR="00DC56BA" w:rsidRPr="00021874">
        <w:t xml:space="preserve"> attach to the bid the documents (copies) about the origin of each musical instrument, or demonstrate the existence of a manufacturer's sticker inside </w:t>
      </w:r>
      <w:r w:rsidR="008F64D4" w:rsidRPr="00021874">
        <w:t>the</w:t>
      </w:r>
      <w:r w:rsidR="00DC56BA" w:rsidRPr="00021874">
        <w:t xml:space="preserve"> musical instrument. </w:t>
      </w:r>
      <w:r w:rsidR="008F64D4" w:rsidRPr="00021874">
        <w:t>The tenderer</w:t>
      </w:r>
      <w:r w:rsidR="00DC56BA" w:rsidRPr="00021874">
        <w:t xml:space="preserve"> </w:t>
      </w:r>
      <w:r w:rsidR="008F64D4" w:rsidRPr="00021874">
        <w:t>must</w:t>
      </w:r>
      <w:r w:rsidR="00DC56BA" w:rsidRPr="00021874">
        <w:t xml:space="preserve"> attach relevant photos to the </w:t>
      </w:r>
      <w:r w:rsidR="008F64D4" w:rsidRPr="00021874">
        <w:t>bid</w:t>
      </w:r>
      <w:r w:rsidR="00DC56BA" w:rsidRPr="00021874">
        <w:t>.</w:t>
      </w:r>
    </w:p>
    <w:p w:rsidR="005F43C4" w:rsidRPr="00021874" w:rsidRDefault="00DC56BA" w:rsidP="00DF7135">
      <w:pPr>
        <w:pStyle w:val="ListParagraph"/>
        <w:numPr>
          <w:ilvl w:val="0"/>
          <w:numId w:val="23"/>
        </w:numPr>
        <w:spacing w:after="200" w:line="276" w:lineRule="auto"/>
      </w:pPr>
      <w:r w:rsidRPr="00021874">
        <w:t xml:space="preserve"> Musical instruments must have a strong, great sound with rich, thick bass </w:t>
      </w:r>
      <w:r w:rsidR="008F64D4" w:rsidRPr="00021874">
        <w:t>timbre</w:t>
      </w:r>
      <w:r w:rsidRPr="00021874">
        <w:t xml:space="preserve">. The </w:t>
      </w:r>
      <w:r w:rsidR="008F64D4" w:rsidRPr="00021874">
        <w:t xml:space="preserve">tone row </w:t>
      </w:r>
      <w:r w:rsidRPr="00021874">
        <w:t xml:space="preserve">must be </w:t>
      </w:r>
      <w:r w:rsidR="008F64D4" w:rsidRPr="00021874">
        <w:t xml:space="preserve">anhemitonic </w:t>
      </w:r>
      <w:r w:rsidRPr="00021874">
        <w:t xml:space="preserve">and </w:t>
      </w:r>
      <w:r w:rsidR="008F64D4" w:rsidRPr="00021874">
        <w:t>must</w:t>
      </w:r>
      <w:r w:rsidRPr="00021874">
        <w:t xml:space="preserve"> </w:t>
      </w:r>
      <w:r w:rsidR="008F64D4" w:rsidRPr="00021874">
        <w:t>chime in all registers. Before decision o</w:t>
      </w:r>
      <w:r w:rsidR="000114A7" w:rsidRPr="00021874">
        <w:t>n</w:t>
      </w:r>
      <w:r w:rsidR="008F64D4" w:rsidRPr="00021874">
        <w:t xml:space="preserve"> signing the contract, the C</w:t>
      </w:r>
      <w:r w:rsidRPr="00021874">
        <w:t xml:space="preserve">ustomer </w:t>
      </w:r>
      <w:r w:rsidR="008F64D4" w:rsidRPr="00021874">
        <w:t>shall be entitled</w:t>
      </w:r>
      <w:r w:rsidRPr="00021874">
        <w:t xml:space="preserve"> to check and test the musical instruments. Test site: Riga, </w:t>
      </w:r>
      <w:r w:rsidR="000114A7" w:rsidRPr="00021874">
        <w:t xml:space="preserve">3 </w:t>
      </w:r>
      <w:r w:rsidRPr="00021874">
        <w:t xml:space="preserve">Aspazijas </w:t>
      </w:r>
      <w:r w:rsidR="000114A7" w:rsidRPr="00021874">
        <w:t>Boulevard</w:t>
      </w:r>
      <w:r w:rsidRPr="00021874">
        <w:t>, Latvia, premises of the Latvian National Opera and Ballet.</w:t>
      </w:r>
    </w:p>
    <w:p w:rsidR="004C0061" w:rsidRPr="00021874" w:rsidRDefault="004C0061" w:rsidP="0028720F">
      <w:pPr>
        <w:spacing w:line="276" w:lineRule="auto"/>
        <w:jc w:val="right"/>
        <w:rPr>
          <w:b/>
        </w:rPr>
      </w:pPr>
    </w:p>
    <w:p w:rsidR="004C0061" w:rsidRPr="00021874" w:rsidRDefault="004C0061" w:rsidP="008F65B1">
      <w:pPr>
        <w:spacing w:line="276" w:lineRule="auto"/>
        <w:rPr>
          <w:b/>
        </w:rPr>
      </w:pPr>
    </w:p>
    <w:p w:rsidR="000114A7" w:rsidRPr="00021874" w:rsidRDefault="000114A7" w:rsidP="000114A7">
      <w:pPr>
        <w:spacing w:line="276" w:lineRule="auto"/>
        <w:jc w:val="right"/>
        <w:rPr>
          <w:b/>
          <w:i/>
        </w:rPr>
      </w:pPr>
      <w:r w:rsidRPr="00021874">
        <w:rPr>
          <w:b/>
        </w:rPr>
        <w:t>Annex 3</w:t>
      </w:r>
    </w:p>
    <w:p w:rsidR="000114A7" w:rsidRPr="00021874" w:rsidRDefault="000114A7" w:rsidP="000114A7">
      <w:pPr>
        <w:jc w:val="right"/>
        <w:rPr>
          <w:lang w:eastAsia="lv-LV" w:bidi="lo-LA"/>
        </w:rPr>
      </w:pPr>
      <w:r w:rsidRPr="00021874">
        <w:rPr>
          <w:lang w:eastAsia="lv-LV" w:bidi="lo-LA"/>
        </w:rPr>
        <w:t>To the Procurement Regulations</w:t>
      </w:r>
    </w:p>
    <w:p w:rsidR="00526132" w:rsidRPr="00021874" w:rsidRDefault="00526132" w:rsidP="00503669">
      <w:pPr>
        <w:spacing w:line="276" w:lineRule="auto"/>
        <w:jc w:val="center"/>
        <w:rPr>
          <w:b/>
          <w:sz w:val="22"/>
          <w:szCs w:val="22"/>
        </w:rPr>
      </w:pPr>
    </w:p>
    <w:p w:rsidR="00D17996" w:rsidRPr="00021874" w:rsidRDefault="000114A7" w:rsidP="00321CDA">
      <w:pPr>
        <w:jc w:val="center"/>
        <w:rPr>
          <w:b/>
          <w:sz w:val="22"/>
          <w:szCs w:val="22"/>
        </w:rPr>
      </w:pPr>
      <w:r w:rsidRPr="00021874">
        <w:rPr>
          <w:b/>
          <w:sz w:val="22"/>
          <w:szCs w:val="22"/>
        </w:rPr>
        <w:t xml:space="preserve">TENDERER’S </w:t>
      </w:r>
      <w:r w:rsidR="00D17996" w:rsidRPr="00021874">
        <w:rPr>
          <w:b/>
          <w:sz w:val="22"/>
          <w:szCs w:val="22"/>
        </w:rPr>
        <w:t xml:space="preserve">_______________________________ </w:t>
      </w:r>
    </w:p>
    <w:p w:rsidR="006104CF" w:rsidRPr="00021874" w:rsidRDefault="000114A7" w:rsidP="00321CDA">
      <w:pPr>
        <w:jc w:val="center"/>
        <w:rPr>
          <w:b/>
          <w:sz w:val="22"/>
          <w:szCs w:val="22"/>
        </w:rPr>
      </w:pPr>
      <w:r w:rsidRPr="00021874">
        <w:rPr>
          <w:b/>
          <w:sz w:val="22"/>
          <w:szCs w:val="22"/>
        </w:rPr>
        <w:t>TECHNICAL AND FINANCIAL BID</w:t>
      </w:r>
    </w:p>
    <w:p w:rsidR="00321CDA" w:rsidRPr="00021874" w:rsidRDefault="000114A7" w:rsidP="00321CDA">
      <w:pPr>
        <w:jc w:val="center"/>
        <w:rPr>
          <w:b/>
          <w:sz w:val="22"/>
          <w:szCs w:val="22"/>
        </w:rPr>
      </w:pPr>
      <w:r w:rsidRPr="00021874">
        <w:rPr>
          <w:b/>
          <w:sz w:val="22"/>
          <w:szCs w:val="22"/>
        </w:rPr>
        <w:t>IN PROCUREMENT PART/PARTS</w:t>
      </w:r>
      <w:r w:rsidR="00321CDA" w:rsidRPr="00021874">
        <w:rPr>
          <w:b/>
          <w:sz w:val="22"/>
          <w:szCs w:val="22"/>
        </w:rPr>
        <w:t xml:space="preserve"> </w:t>
      </w:r>
      <w:r w:rsidR="009F1945" w:rsidRPr="00021874">
        <w:rPr>
          <w:b/>
          <w:sz w:val="22"/>
          <w:szCs w:val="22"/>
        </w:rPr>
        <w:t>______</w:t>
      </w:r>
      <w:r w:rsidR="000C2B2C" w:rsidRPr="00021874">
        <w:rPr>
          <w:b/>
          <w:sz w:val="22"/>
          <w:szCs w:val="22"/>
        </w:rPr>
        <w:t>___</w:t>
      </w:r>
      <w:r w:rsidR="009F1945" w:rsidRPr="00021874">
        <w:rPr>
          <w:b/>
          <w:sz w:val="22"/>
          <w:szCs w:val="22"/>
        </w:rPr>
        <w:t xml:space="preserve"> </w:t>
      </w:r>
    </w:p>
    <w:p w:rsidR="00764759" w:rsidRPr="00021874" w:rsidRDefault="00764759" w:rsidP="00321CDA">
      <w:pPr>
        <w:jc w:val="center"/>
        <w:rPr>
          <w:b/>
          <w:sz w:val="22"/>
          <w:szCs w:val="22"/>
        </w:rPr>
      </w:pPr>
    </w:p>
    <w:p w:rsidR="00764759" w:rsidRPr="00021874" w:rsidRDefault="00764759" w:rsidP="00F556CF">
      <w:pPr>
        <w:rPr>
          <w:sz w:val="22"/>
          <w:szCs w:val="22"/>
        </w:rPr>
      </w:pPr>
    </w:p>
    <w:p w:rsidR="00F556CF" w:rsidRPr="00021874" w:rsidRDefault="00F556CF" w:rsidP="00F556CF">
      <w:pPr>
        <w:rPr>
          <w:sz w:val="22"/>
          <w:szCs w:val="22"/>
        </w:rPr>
      </w:pPr>
      <w:r w:rsidRPr="00021874">
        <w:rPr>
          <w:sz w:val="22"/>
          <w:szCs w:val="22"/>
        </w:rPr>
        <w:t>(</w:t>
      </w:r>
      <w:r w:rsidR="000114A7" w:rsidRPr="00021874">
        <w:rPr>
          <w:sz w:val="22"/>
          <w:szCs w:val="22"/>
        </w:rPr>
        <w:t>Fill in the fields of the table, taking into account the part of the procurement in which the tenderer submits the bid</w:t>
      </w:r>
      <w:r w:rsidRPr="00021874">
        <w:rPr>
          <w:sz w:val="22"/>
          <w:szCs w:val="22"/>
        </w:rPr>
        <w:t>)</w:t>
      </w:r>
      <w:r w:rsidR="00764759" w:rsidRPr="00021874">
        <w:rPr>
          <w:sz w:val="22"/>
          <w:szCs w:val="22"/>
        </w:rPr>
        <w:t>:</w:t>
      </w:r>
    </w:p>
    <w:p w:rsidR="0069285B" w:rsidRPr="00021874" w:rsidRDefault="0069285B" w:rsidP="00F556CF">
      <w:pPr>
        <w:rPr>
          <w:sz w:val="22"/>
          <w:szCs w:val="22"/>
        </w:rPr>
      </w:pPr>
    </w:p>
    <w:tbl>
      <w:tblPr>
        <w:tblpPr w:leftFromText="180" w:rightFromText="180" w:vertAnchor="text" w:tblpY="1"/>
        <w:tblOverlap w:val="never"/>
        <w:tblW w:w="14560" w:type="dxa"/>
        <w:tblLook w:val="04A0" w:firstRow="1" w:lastRow="0" w:firstColumn="1" w:lastColumn="0" w:noHBand="0" w:noVBand="1"/>
      </w:tblPr>
      <w:tblGrid>
        <w:gridCol w:w="4531"/>
        <w:gridCol w:w="4820"/>
        <w:gridCol w:w="5209"/>
      </w:tblGrid>
      <w:tr w:rsidR="009F1945" w:rsidRPr="00021874" w:rsidTr="00375810">
        <w:trPr>
          <w:trHeight w:val="608"/>
        </w:trPr>
        <w:tc>
          <w:tcPr>
            <w:tcW w:w="453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F1945" w:rsidRPr="00021874" w:rsidRDefault="009F1945" w:rsidP="009F1945">
            <w:pPr>
              <w:spacing w:after="200" w:line="276" w:lineRule="auto"/>
              <w:rPr>
                <w:b/>
                <w:color w:val="000000"/>
                <w:sz w:val="28"/>
                <w:szCs w:val="28"/>
                <w:lang w:eastAsia="lv-LV"/>
              </w:rPr>
            </w:pPr>
          </w:p>
        </w:tc>
        <w:tc>
          <w:tcPr>
            <w:tcW w:w="4820" w:type="dxa"/>
            <w:tcBorders>
              <w:top w:val="single" w:sz="4" w:space="0" w:color="auto"/>
              <w:left w:val="single" w:sz="4" w:space="0" w:color="auto"/>
              <w:bottom w:val="single" w:sz="4" w:space="0" w:color="000000"/>
              <w:right w:val="single" w:sz="4" w:space="0" w:color="auto"/>
            </w:tcBorders>
            <w:shd w:val="clear" w:color="auto" w:fill="auto"/>
            <w:vAlign w:val="center"/>
          </w:tcPr>
          <w:p w:rsidR="00D17996" w:rsidRPr="00021874" w:rsidRDefault="00D17996" w:rsidP="00D17996">
            <w:pPr>
              <w:spacing w:after="200" w:line="276" w:lineRule="auto"/>
              <w:jc w:val="center"/>
              <w:rPr>
                <w:b/>
              </w:rPr>
            </w:pPr>
          </w:p>
          <w:p w:rsidR="00130828" w:rsidRPr="00021874" w:rsidRDefault="00130828" w:rsidP="00D17996">
            <w:pPr>
              <w:spacing w:after="200" w:line="276" w:lineRule="auto"/>
              <w:jc w:val="center"/>
              <w:rPr>
                <w:b/>
              </w:rPr>
            </w:pPr>
            <w:r w:rsidRPr="00021874">
              <w:rPr>
                <w:b/>
              </w:rPr>
              <w:t>Musical instrument – 5-string double bass</w:t>
            </w:r>
          </w:p>
          <w:p w:rsidR="009F1945" w:rsidRPr="00021874" w:rsidRDefault="00130828" w:rsidP="00130828">
            <w:pPr>
              <w:spacing w:after="200" w:line="276" w:lineRule="auto"/>
              <w:jc w:val="center"/>
              <w:rPr>
                <w:b/>
              </w:rPr>
            </w:pPr>
            <w:r w:rsidRPr="00021874">
              <w:rPr>
                <w:b/>
              </w:rPr>
              <w:t>Procurement Part 1</w:t>
            </w:r>
          </w:p>
        </w:tc>
        <w:tc>
          <w:tcPr>
            <w:tcW w:w="5209" w:type="dxa"/>
            <w:tcBorders>
              <w:top w:val="single" w:sz="4" w:space="0" w:color="auto"/>
              <w:left w:val="single" w:sz="4" w:space="0" w:color="auto"/>
              <w:bottom w:val="single" w:sz="4" w:space="0" w:color="000000"/>
              <w:right w:val="single" w:sz="4" w:space="0" w:color="auto"/>
            </w:tcBorders>
            <w:shd w:val="clear" w:color="auto" w:fill="auto"/>
            <w:vAlign w:val="center"/>
          </w:tcPr>
          <w:p w:rsidR="00375810" w:rsidRPr="00021874" w:rsidRDefault="00375810" w:rsidP="00D17996">
            <w:pPr>
              <w:spacing w:after="200" w:line="276" w:lineRule="auto"/>
              <w:jc w:val="center"/>
              <w:rPr>
                <w:b/>
              </w:rPr>
            </w:pPr>
          </w:p>
          <w:p w:rsidR="00130828" w:rsidRPr="00021874" w:rsidRDefault="00130828" w:rsidP="00130828">
            <w:pPr>
              <w:spacing w:after="200" w:line="276" w:lineRule="auto"/>
              <w:jc w:val="center"/>
              <w:rPr>
                <w:b/>
              </w:rPr>
            </w:pPr>
            <w:r w:rsidRPr="00021874">
              <w:rPr>
                <w:b/>
              </w:rPr>
              <w:t>Musical instrument – 5-string double bass</w:t>
            </w:r>
          </w:p>
          <w:p w:rsidR="009F1945" w:rsidRPr="00021874" w:rsidRDefault="00130828" w:rsidP="00130828">
            <w:pPr>
              <w:spacing w:after="200" w:line="276" w:lineRule="auto"/>
              <w:jc w:val="center"/>
              <w:rPr>
                <w:b/>
                <w:color w:val="000000"/>
                <w:lang w:eastAsia="lv-LV"/>
              </w:rPr>
            </w:pPr>
            <w:r w:rsidRPr="00021874">
              <w:rPr>
                <w:b/>
              </w:rPr>
              <w:t>Procurement Part 2</w:t>
            </w:r>
          </w:p>
        </w:tc>
      </w:tr>
      <w:tr w:rsidR="009F1945" w:rsidRPr="00021874" w:rsidTr="00375810">
        <w:trPr>
          <w:trHeight w:val="798"/>
        </w:trPr>
        <w:tc>
          <w:tcPr>
            <w:tcW w:w="4531"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F1945" w:rsidRPr="00021874" w:rsidRDefault="00130828" w:rsidP="00375810">
            <w:pPr>
              <w:spacing w:after="200" w:line="276" w:lineRule="auto"/>
              <w:rPr>
                <w:b/>
              </w:rPr>
            </w:pPr>
            <w:r w:rsidRPr="00021874">
              <w:rPr>
                <w:b/>
              </w:rPr>
              <w:t>Musical instrument name / manufacturer:</w:t>
            </w:r>
          </w:p>
        </w:tc>
        <w:tc>
          <w:tcPr>
            <w:tcW w:w="4820" w:type="dxa"/>
            <w:tcBorders>
              <w:top w:val="single" w:sz="4" w:space="0" w:color="auto"/>
              <w:left w:val="single" w:sz="4" w:space="0" w:color="auto"/>
              <w:bottom w:val="single" w:sz="4" w:space="0" w:color="000000"/>
              <w:right w:val="single" w:sz="4" w:space="0" w:color="auto"/>
            </w:tcBorders>
            <w:shd w:val="clear" w:color="auto" w:fill="auto"/>
            <w:vAlign w:val="center"/>
          </w:tcPr>
          <w:p w:rsidR="009F1945" w:rsidRPr="00021874" w:rsidRDefault="009F1945" w:rsidP="009F1945">
            <w:pPr>
              <w:spacing w:after="200" w:line="276" w:lineRule="auto"/>
            </w:pPr>
          </w:p>
        </w:tc>
        <w:tc>
          <w:tcPr>
            <w:tcW w:w="5209" w:type="dxa"/>
            <w:tcBorders>
              <w:top w:val="single" w:sz="4" w:space="0" w:color="auto"/>
              <w:left w:val="single" w:sz="4" w:space="0" w:color="auto"/>
              <w:bottom w:val="single" w:sz="4" w:space="0" w:color="000000"/>
              <w:right w:val="single" w:sz="4" w:space="0" w:color="auto"/>
            </w:tcBorders>
            <w:shd w:val="clear" w:color="auto" w:fill="auto"/>
            <w:vAlign w:val="center"/>
          </w:tcPr>
          <w:p w:rsidR="009F1945" w:rsidRPr="00021874" w:rsidRDefault="009F1945" w:rsidP="009F1945">
            <w:pP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2470D4" w:rsidP="009F1945">
            <w:pPr>
              <w:rPr>
                <w:color w:val="000000"/>
                <w:lang w:eastAsia="lv-LV"/>
              </w:rPr>
            </w:pPr>
            <w:r>
              <w:rPr>
                <w:color w:val="000000"/>
                <w:lang w:eastAsia="lv-LV"/>
              </w:rPr>
              <w:t>Amount</w:t>
            </w:r>
            <w:r w:rsidR="000114A7" w:rsidRPr="00021874">
              <w:rPr>
                <w:color w:val="000000"/>
                <w:lang w:eastAsia="lv-LV"/>
              </w:rPr>
              <w:t xml:space="preserve"> of strings</w:t>
            </w:r>
          </w:p>
        </w:tc>
        <w:tc>
          <w:tcPr>
            <w:tcW w:w="4820" w:type="dxa"/>
            <w:tcBorders>
              <w:top w:val="nil"/>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0114A7" w:rsidP="009F1945">
            <w:pPr>
              <w:rPr>
                <w:color w:val="000000"/>
                <w:lang w:eastAsia="lv-LV"/>
              </w:rPr>
            </w:pPr>
            <w:r w:rsidRPr="00021874">
              <w:rPr>
                <w:color w:val="000000"/>
                <w:lang w:eastAsia="lv-LV"/>
              </w:rPr>
              <w:t>Size</w:t>
            </w:r>
          </w:p>
        </w:tc>
        <w:tc>
          <w:tcPr>
            <w:tcW w:w="4820" w:type="dxa"/>
            <w:tcBorders>
              <w:top w:val="nil"/>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0114A7" w:rsidP="009F1945">
            <w:pPr>
              <w:rPr>
                <w:color w:val="000000"/>
                <w:lang w:eastAsia="lv-LV"/>
              </w:rPr>
            </w:pPr>
            <w:r w:rsidRPr="00021874">
              <w:rPr>
                <w:color w:val="000000"/>
                <w:lang w:eastAsia="lv-LV"/>
              </w:rPr>
              <w:t>Vibrating string length</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0114A7" w:rsidP="009F1945">
            <w:pPr>
              <w:rPr>
                <w:color w:val="000000"/>
                <w:lang w:eastAsia="lv-LV"/>
              </w:rPr>
            </w:pPr>
            <w:r w:rsidRPr="00021874">
              <w:rPr>
                <w:color w:val="000000"/>
                <w:lang w:eastAsia="lv-LV"/>
              </w:rPr>
              <w:t>Instrument total length</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421"/>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0114A7" w:rsidP="009F1945">
            <w:pPr>
              <w:rPr>
                <w:color w:val="000000"/>
                <w:lang w:eastAsia="lv-LV"/>
              </w:rPr>
            </w:pPr>
            <w:r w:rsidRPr="00021874">
              <w:rPr>
                <w:color w:val="000000"/>
                <w:lang w:eastAsia="lv-LV"/>
              </w:rPr>
              <w:t>Body length</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130828" w:rsidP="00130828">
            <w:pPr>
              <w:rPr>
                <w:color w:val="000000"/>
                <w:lang w:eastAsia="lv-LV"/>
              </w:rPr>
            </w:pPr>
            <w:r w:rsidRPr="00021874">
              <w:rPr>
                <w:color w:val="000000"/>
                <w:lang w:eastAsia="lv-LV"/>
              </w:rPr>
              <w:t>Upper Bout</w:t>
            </w:r>
          </w:p>
        </w:tc>
        <w:tc>
          <w:tcPr>
            <w:tcW w:w="4820" w:type="dxa"/>
            <w:tcBorders>
              <w:top w:val="nil"/>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130828" w:rsidP="009F1945">
            <w:pPr>
              <w:rPr>
                <w:color w:val="000000"/>
                <w:lang w:eastAsia="lv-LV"/>
              </w:rPr>
            </w:pPr>
            <w:r w:rsidRPr="00021874">
              <w:rPr>
                <w:color w:val="000000"/>
                <w:lang w:eastAsia="lv-LV"/>
              </w:rPr>
              <w:t>C Bout</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130828" w:rsidP="00130828">
            <w:pPr>
              <w:rPr>
                <w:color w:val="000000"/>
                <w:lang w:eastAsia="lv-LV"/>
              </w:rPr>
            </w:pPr>
            <w:r w:rsidRPr="00021874">
              <w:rPr>
                <w:color w:val="000000"/>
                <w:lang w:eastAsia="lv-LV"/>
              </w:rPr>
              <w:t>Lower Bout</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D17996">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130828" w:rsidP="009F1945">
            <w:pPr>
              <w:rPr>
                <w:color w:val="000000"/>
                <w:lang w:eastAsia="lv-LV"/>
              </w:rPr>
            </w:pPr>
            <w:r w:rsidRPr="00021874">
              <w:rPr>
                <w:color w:val="000000"/>
                <w:lang w:eastAsia="lv-LV"/>
              </w:rPr>
              <w:t>Rib depth</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p w:rsidR="00A94449" w:rsidRPr="00021874" w:rsidRDefault="00A94449"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130828" w:rsidP="009F1945">
            <w:pPr>
              <w:rPr>
                <w:color w:val="000000"/>
                <w:lang w:eastAsia="lv-LV"/>
              </w:rPr>
            </w:pPr>
            <w:r w:rsidRPr="00021874">
              <w:rPr>
                <w:color w:val="000000"/>
                <w:lang w:eastAsia="lv-LV"/>
              </w:rPr>
              <w:t>Back</w:t>
            </w:r>
          </w:p>
          <w:p w:rsidR="00A94449" w:rsidRPr="00021874" w:rsidRDefault="00A94449" w:rsidP="009F1945">
            <w:pPr>
              <w:rPr>
                <w:color w:val="000000"/>
                <w:lang w:eastAsia="lv-LV"/>
              </w:rPr>
            </w:pPr>
          </w:p>
          <w:p w:rsidR="00A94449" w:rsidRPr="00021874" w:rsidRDefault="00A94449" w:rsidP="009F1945">
            <w:pPr>
              <w:rPr>
                <w:color w:val="000000"/>
                <w:lang w:eastAsia="lv-LV"/>
              </w:rPr>
            </w:pPr>
          </w:p>
        </w:tc>
        <w:tc>
          <w:tcPr>
            <w:tcW w:w="4820" w:type="dxa"/>
            <w:tcBorders>
              <w:top w:val="nil"/>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1945" w:rsidRPr="00021874" w:rsidRDefault="00130828" w:rsidP="009F1945">
            <w:pPr>
              <w:rPr>
                <w:color w:val="000000"/>
                <w:lang w:eastAsia="lv-LV"/>
              </w:rPr>
            </w:pPr>
            <w:r w:rsidRPr="00021874">
              <w:rPr>
                <w:color w:val="000000"/>
                <w:lang w:eastAsia="lv-LV"/>
              </w:rPr>
              <w:lastRenderedPageBreak/>
              <w:t>Mensuration</w:t>
            </w:r>
          </w:p>
        </w:tc>
        <w:tc>
          <w:tcPr>
            <w:tcW w:w="4820" w:type="dxa"/>
            <w:tcBorders>
              <w:top w:val="nil"/>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nil"/>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699"/>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5" w:rsidRPr="00021874" w:rsidRDefault="00130828" w:rsidP="00084AED">
            <w:pPr>
              <w:spacing w:after="200" w:line="276" w:lineRule="auto"/>
              <w:rPr>
                <w:color w:val="000000"/>
                <w:lang w:eastAsia="lv-LV"/>
              </w:rPr>
            </w:pPr>
            <w:r w:rsidRPr="00021874">
              <w:t>Musical instrument manufacturing year</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tc>
      </w:tr>
      <w:tr w:rsidR="009F1945" w:rsidRPr="00021874" w:rsidTr="00375810">
        <w:trPr>
          <w:trHeight w:val="1987"/>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5" w:rsidRPr="00021874" w:rsidRDefault="00130828" w:rsidP="00130828">
            <w:pPr>
              <w:spacing w:after="200" w:line="276" w:lineRule="auto"/>
              <w:rPr>
                <w:color w:val="000000"/>
                <w:lang w:eastAsia="lv-LV"/>
              </w:rPr>
            </w:pPr>
            <w:r w:rsidRPr="00021874">
              <w:t>The tenderer confirms that the musical instrument meets the Customer's technical requirements. The photos have been added to the bid: close-ups of both plates and general views of the double bass on both sides</w:t>
            </w:r>
          </w:p>
        </w:tc>
        <w:tc>
          <w:tcPr>
            <w:tcW w:w="4820" w:type="dxa"/>
            <w:tcBorders>
              <w:top w:val="single" w:sz="4" w:space="0" w:color="auto"/>
              <w:left w:val="nil"/>
              <w:bottom w:val="nil"/>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nil"/>
              <w:right w:val="single" w:sz="4" w:space="0" w:color="auto"/>
            </w:tcBorders>
            <w:shd w:val="clear" w:color="auto" w:fill="auto"/>
            <w:vAlign w:val="center"/>
          </w:tcPr>
          <w:p w:rsidR="009F1945" w:rsidRPr="00021874" w:rsidRDefault="009F1945" w:rsidP="009F1945">
            <w:pPr>
              <w:spacing w:after="200" w:line="276" w:lineRule="auto"/>
              <w:rPr>
                <w:color w:val="000000"/>
                <w:lang w:eastAsia="lv-LV"/>
              </w:rPr>
            </w:pPr>
          </w:p>
        </w:tc>
      </w:tr>
      <w:tr w:rsidR="009F1945"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1945" w:rsidRPr="00021874" w:rsidRDefault="00130828" w:rsidP="009F1945">
            <w:pPr>
              <w:spacing w:after="200" w:line="276" w:lineRule="auto"/>
              <w:rPr>
                <w:color w:val="000000"/>
                <w:lang w:eastAsia="lv-LV"/>
              </w:rPr>
            </w:pPr>
            <w:r w:rsidRPr="00021874">
              <w:t>Information about the origin of the musical instrument.</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9F1945" w:rsidRPr="00021874" w:rsidRDefault="009F1945"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9F1945" w:rsidRPr="00021874" w:rsidRDefault="009F1945" w:rsidP="009F1945">
            <w:pPr>
              <w:jc w:val="center"/>
              <w:rPr>
                <w:color w:val="000000"/>
                <w:lang w:eastAsia="lv-LV"/>
              </w:rPr>
            </w:pPr>
          </w:p>
          <w:p w:rsidR="0095637C" w:rsidRPr="00021874" w:rsidRDefault="0095637C" w:rsidP="009F1945">
            <w:pPr>
              <w:jc w:val="center"/>
              <w:rPr>
                <w:color w:val="000000"/>
                <w:lang w:eastAsia="lv-LV"/>
              </w:rPr>
            </w:pPr>
          </w:p>
        </w:tc>
      </w:tr>
      <w:tr w:rsidR="0095637C" w:rsidRPr="00021874" w:rsidTr="00375810">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637C" w:rsidRPr="00021874" w:rsidRDefault="0095637C" w:rsidP="009F1945">
            <w:pPr>
              <w:spacing w:after="200" w:line="276" w:lineRule="auto"/>
            </w:pP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0C2B2C" w:rsidRPr="00021874" w:rsidRDefault="000C2B2C" w:rsidP="0095637C">
            <w:pPr>
              <w:spacing w:after="200" w:line="276" w:lineRule="auto"/>
            </w:pPr>
          </w:p>
          <w:p w:rsidR="003105C3" w:rsidRPr="00021874" w:rsidRDefault="003105C3" w:rsidP="003105C3">
            <w:pPr>
              <w:spacing w:after="200" w:line="276" w:lineRule="auto"/>
            </w:pPr>
            <w:r w:rsidRPr="00021874">
              <w:t>Tenderer’s bidding price for the musical instrument in the Procurement Part 1:</w:t>
            </w:r>
          </w:p>
          <w:p w:rsidR="003105C3" w:rsidRPr="00021874" w:rsidRDefault="003105C3" w:rsidP="003105C3">
            <w:pPr>
              <w:spacing w:after="200" w:line="276" w:lineRule="auto"/>
            </w:pPr>
            <w:r w:rsidRPr="00021874">
              <w:t>_________ EUR, excluding VAT*</w:t>
            </w:r>
          </w:p>
          <w:p w:rsidR="0095637C" w:rsidRPr="00021874" w:rsidRDefault="0095637C" w:rsidP="009F1945">
            <w:pPr>
              <w:jc w:val="center"/>
              <w:rPr>
                <w:color w:val="000000"/>
                <w:lang w:eastAsia="lv-LV"/>
              </w:rPr>
            </w:pPr>
          </w:p>
        </w:tc>
        <w:tc>
          <w:tcPr>
            <w:tcW w:w="5209" w:type="dxa"/>
            <w:tcBorders>
              <w:top w:val="single" w:sz="4" w:space="0" w:color="auto"/>
              <w:left w:val="nil"/>
              <w:bottom w:val="single" w:sz="4" w:space="0" w:color="auto"/>
              <w:right w:val="single" w:sz="4" w:space="0" w:color="auto"/>
            </w:tcBorders>
            <w:shd w:val="clear" w:color="auto" w:fill="auto"/>
            <w:vAlign w:val="center"/>
          </w:tcPr>
          <w:p w:rsidR="00130828" w:rsidRPr="00021874" w:rsidRDefault="00130828" w:rsidP="00130828">
            <w:pPr>
              <w:spacing w:after="200" w:line="276" w:lineRule="auto"/>
            </w:pPr>
            <w:r w:rsidRPr="00021874">
              <w:t xml:space="preserve">Tenderer’s bidding price for the musical instrument in the Procurement Part </w:t>
            </w:r>
            <w:r w:rsidR="003105C3" w:rsidRPr="00021874">
              <w:t>2</w:t>
            </w:r>
            <w:r w:rsidRPr="00021874">
              <w:t>:</w:t>
            </w:r>
          </w:p>
          <w:p w:rsidR="00130828" w:rsidRPr="00021874" w:rsidRDefault="00130828" w:rsidP="00130828">
            <w:pPr>
              <w:spacing w:after="200" w:line="276" w:lineRule="auto"/>
            </w:pPr>
            <w:r w:rsidRPr="00021874">
              <w:t>_________ EUR, excluding VAT*</w:t>
            </w:r>
          </w:p>
          <w:p w:rsidR="0095637C" w:rsidRPr="00021874" w:rsidRDefault="0095637C" w:rsidP="000C2B2C">
            <w:pPr>
              <w:rPr>
                <w:color w:val="000000"/>
                <w:lang w:eastAsia="lv-LV"/>
              </w:rPr>
            </w:pPr>
          </w:p>
        </w:tc>
      </w:tr>
    </w:tbl>
    <w:p w:rsidR="00F556CF" w:rsidRPr="00021874" w:rsidRDefault="00F556CF" w:rsidP="00F556CF">
      <w:pPr>
        <w:jc w:val="right"/>
        <w:rPr>
          <w:sz w:val="22"/>
          <w:szCs w:val="22"/>
        </w:rPr>
      </w:pPr>
    </w:p>
    <w:p w:rsidR="00084AED" w:rsidRPr="00021874" w:rsidRDefault="00084AED" w:rsidP="00084AED">
      <w:r w:rsidRPr="00021874">
        <w:t>*</w:t>
      </w:r>
      <w:r w:rsidR="003105C3" w:rsidRPr="00021874">
        <w:t xml:space="preserve"> The financial bid includes all costs associated with the object procurement execution, excluding value added tax. </w:t>
      </w:r>
    </w:p>
    <w:p w:rsidR="00084AED" w:rsidRPr="00021874" w:rsidRDefault="00084AED" w:rsidP="0095637C">
      <w:pPr>
        <w:pBdr>
          <w:bottom w:val="single" w:sz="12" w:space="0" w:color="auto"/>
        </w:pBdr>
        <w:shd w:val="clear" w:color="auto" w:fill="FFFFFF"/>
        <w:overflowPunct w:val="0"/>
        <w:autoSpaceDE w:val="0"/>
        <w:autoSpaceDN w:val="0"/>
        <w:adjustRightInd w:val="0"/>
        <w:rPr>
          <w:spacing w:val="-12"/>
          <w:lang w:eastAsia="lv-LV" w:bidi="lo-LA"/>
        </w:rPr>
      </w:pPr>
    </w:p>
    <w:p w:rsidR="003105C3" w:rsidRPr="00021874" w:rsidRDefault="003105C3" w:rsidP="0095637C">
      <w:pPr>
        <w:pBdr>
          <w:bottom w:val="single" w:sz="12" w:space="0" w:color="auto"/>
        </w:pBdr>
        <w:shd w:val="clear" w:color="auto" w:fill="FFFFFF"/>
        <w:overflowPunct w:val="0"/>
        <w:autoSpaceDE w:val="0"/>
        <w:autoSpaceDN w:val="0"/>
        <w:adjustRightInd w:val="0"/>
        <w:rPr>
          <w:spacing w:val="-12"/>
          <w:lang w:eastAsia="lv-LV" w:bidi="lo-LA"/>
        </w:rPr>
      </w:pPr>
    </w:p>
    <w:p w:rsidR="003105C3" w:rsidRPr="00021874" w:rsidRDefault="003105C3" w:rsidP="0095637C">
      <w:pPr>
        <w:pBdr>
          <w:bottom w:val="single" w:sz="12" w:space="0" w:color="auto"/>
        </w:pBdr>
        <w:shd w:val="clear" w:color="auto" w:fill="FFFFFF"/>
        <w:overflowPunct w:val="0"/>
        <w:autoSpaceDE w:val="0"/>
        <w:autoSpaceDN w:val="0"/>
        <w:adjustRightInd w:val="0"/>
        <w:rPr>
          <w:spacing w:val="-12"/>
          <w:lang w:eastAsia="lv-LV" w:bidi="lo-LA"/>
        </w:rPr>
      </w:pPr>
    </w:p>
    <w:p w:rsidR="00084AED" w:rsidRPr="00021874" w:rsidRDefault="00084AED" w:rsidP="0095637C">
      <w:pPr>
        <w:pBdr>
          <w:bottom w:val="single" w:sz="12" w:space="0" w:color="auto"/>
        </w:pBdr>
        <w:shd w:val="clear" w:color="auto" w:fill="FFFFFF"/>
        <w:overflowPunct w:val="0"/>
        <w:autoSpaceDE w:val="0"/>
        <w:autoSpaceDN w:val="0"/>
        <w:adjustRightInd w:val="0"/>
        <w:rPr>
          <w:spacing w:val="-12"/>
          <w:lang w:eastAsia="lv-LV" w:bidi="lo-LA"/>
        </w:rPr>
      </w:pPr>
    </w:p>
    <w:p w:rsidR="00375810" w:rsidRPr="00021874" w:rsidRDefault="00084AED" w:rsidP="00D17996">
      <w:pPr>
        <w:ind w:left="720"/>
        <w:jc w:val="center"/>
      </w:pPr>
      <w:r w:rsidRPr="00021874">
        <w:t xml:space="preserve"> </w:t>
      </w:r>
      <w:r w:rsidR="0095637C" w:rsidRPr="00021874">
        <w:t>(</w:t>
      </w:r>
      <w:r w:rsidR="003105C3" w:rsidRPr="00021874">
        <w:t>Tenderer's name and signature</w:t>
      </w:r>
      <w:r w:rsidR="0095637C" w:rsidRPr="00021874">
        <w:t>)</w:t>
      </w:r>
    </w:p>
    <w:p w:rsidR="00E37E1C" w:rsidRPr="00A97B35" w:rsidRDefault="00E37E1C" w:rsidP="00E37E1C">
      <w:pPr>
        <w:rPr>
          <w:bCs/>
          <w:kern w:val="32"/>
          <w:lang w:eastAsia="lv-LV" w:bidi="lo-LA"/>
        </w:rPr>
      </w:pPr>
    </w:p>
    <w:tbl>
      <w:tblPr>
        <w:tblW w:w="15168" w:type="dxa"/>
        <w:tblInd w:w="-289" w:type="dxa"/>
        <w:tblLayout w:type="fixed"/>
        <w:tblCellMar>
          <w:left w:w="10" w:type="dxa"/>
          <w:right w:w="10" w:type="dxa"/>
        </w:tblCellMar>
        <w:tblLook w:val="04A0" w:firstRow="1" w:lastRow="0" w:firstColumn="1" w:lastColumn="0" w:noHBand="0" w:noVBand="1"/>
      </w:tblPr>
      <w:tblGrid>
        <w:gridCol w:w="7372"/>
        <w:gridCol w:w="142"/>
        <w:gridCol w:w="5386"/>
        <w:gridCol w:w="2268"/>
      </w:tblGrid>
      <w:tr w:rsidR="00E37E1C" w:rsidRPr="00CB0335" w:rsidTr="00657C74">
        <w:tc>
          <w:tcPr>
            <w:tcW w:w="751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7E1C" w:rsidRPr="005C2C17" w:rsidRDefault="00E37E1C" w:rsidP="00730F30">
            <w:pPr>
              <w:pStyle w:val="TableContents"/>
              <w:spacing w:line="256" w:lineRule="auto"/>
              <w:ind w:left="57" w:right="57"/>
              <w:jc w:val="center"/>
              <w:rPr>
                <w:rFonts w:cs="Times New Roman"/>
                <w:lang w:val="en-GB"/>
              </w:rPr>
            </w:pPr>
            <w:r w:rsidRPr="005C2C17">
              <w:rPr>
                <w:rFonts w:cs="Times New Roman"/>
                <w:b/>
                <w:bCs/>
              </w:rPr>
              <w:lastRenderedPageBreak/>
              <w:t>LĪGUMS</w:t>
            </w:r>
          </w:p>
          <w:p w:rsidR="00E37E1C" w:rsidRPr="005C2C17" w:rsidRDefault="00E37E1C"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rPr>
              <w:t>Rīgā,</w:t>
            </w:r>
            <w:r w:rsidRPr="005C2C17">
              <w:rPr>
                <w:rFonts w:cs="Times New Roman"/>
              </w:rPr>
              <w:tab/>
            </w:r>
          </w:p>
          <w:p w:rsidR="00E37E1C" w:rsidRPr="005C2C17" w:rsidRDefault="00E37E1C" w:rsidP="00730F30">
            <w:pPr>
              <w:pStyle w:val="TableContents"/>
              <w:spacing w:line="256" w:lineRule="auto"/>
              <w:ind w:left="57" w:right="57"/>
              <w:jc w:val="both"/>
              <w:rPr>
                <w:rFonts w:cs="Times New Roman"/>
              </w:rPr>
            </w:pPr>
            <w:r w:rsidRPr="005C2C17">
              <w:rPr>
                <w:rFonts w:cs="Times New Roman"/>
              </w:rPr>
              <w:t>2018.gada __.__________</w:t>
            </w:r>
          </w:p>
          <w:p w:rsidR="00E37E1C" w:rsidRPr="005C2C17" w:rsidRDefault="00E37E1C"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VSIA „Latvijas Nacionālā opera un balets”</w:t>
            </w:r>
            <w:r w:rsidR="00F0374D">
              <w:rPr>
                <w:rFonts w:cs="Times New Roman"/>
              </w:rPr>
              <w:t xml:space="preserve">, reģistrācijas </w:t>
            </w:r>
            <w:r w:rsidR="006A2392" w:rsidRPr="005C2C17">
              <w:rPr>
                <w:rFonts w:cs="Times New Roman"/>
              </w:rPr>
              <w:t>n</w:t>
            </w:r>
            <w:r w:rsidR="00F0374D">
              <w:rPr>
                <w:rFonts w:cs="Times New Roman"/>
              </w:rPr>
              <w:t>r</w:t>
            </w:r>
            <w:r w:rsidRPr="005C2C17">
              <w:rPr>
                <w:rFonts w:cs="Times New Roman"/>
              </w:rPr>
              <w:t xml:space="preserve">.40103208907, adrese: Aspazijas bulvārī 3, Rīgā, LV-1050, tās valdes priekšsēdētāja Zigmara Liepiņa personā, kurš </w:t>
            </w:r>
            <w:r w:rsidR="006A2392" w:rsidRPr="005C2C17">
              <w:rPr>
                <w:rFonts w:cs="Times New Roman"/>
              </w:rPr>
              <w:t>rīkojas</w:t>
            </w:r>
            <w:r w:rsidRPr="005C2C17">
              <w:rPr>
                <w:rFonts w:cs="Times New Roman"/>
              </w:rPr>
              <w:t xml:space="preserve"> uz statūtu pamata, turpmāk tekstā saukts „Pasūtītājs”, no vienas puses, un ___________________________</w:t>
            </w:r>
            <w:r w:rsidR="00F0374D">
              <w:rPr>
                <w:rFonts w:cs="Times New Roman"/>
              </w:rPr>
              <w:t>, reģistrācijas nr.:</w:t>
            </w:r>
            <w:r w:rsidR="006A2392" w:rsidRPr="005C2C17">
              <w:rPr>
                <w:rFonts w:cs="Times New Roman"/>
              </w:rPr>
              <w:t xml:space="preserve"> ___________, juridiskā adrese: ____________________</w:t>
            </w:r>
            <w:r w:rsidRPr="005C2C17">
              <w:rPr>
                <w:rFonts w:cs="Times New Roman"/>
              </w:rPr>
              <w:t>, tās pārstāvja ___________ personā, turpmāk tekstā saukts „Pārdevējs”, no otras puses, Pasūtītājs un Pārdevējs kopā, katrs atsevišķi - turpmāk tekstā saukti par „Pusēm”, noslēdz šo līgumu, turpmāk tekstā „Līgums”, par sekojošo:</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1. Līguma priekšmets.</w:t>
            </w:r>
          </w:p>
          <w:p w:rsidR="00E37E1C" w:rsidRPr="005C2C17" w:rsidRDefault="00E37E1C" w:rsidP="00730F30">
            <w:pPr>
              <w:pStyle w:val="TableContents"/>
              <w:spacing w:line="256" w:lineRule="auto"/>
              <w:ind w:right="57"/>
              <w:jc w:val="both"/>
              <w:rPr>
                <w:rFonts w:cs="Times New Roman"/>
              </w:rPr>
            </w:pPr>
            <w:r w:rsidRPr="005C2C17">
              <w:rPr>
                <w:rFonts w:cs="Times New Roman"/>
              </w:rPr>
              <w:t>Pasūtītājs pērk, bet Pārdevējs pārdod</w:t>
            </w:r>
            <w:r w:rsidR="006A2392" w:rsidRPr="005C2C17">
              <w:rPr>
                <w:rFonts w:cs="Times New Roman"/>
              </w:rPr>
              <w:t xml:space="preserve"> mūzikas instrumentu</w:t>
            </w:r>
            <w:r w:rsidRPr="005C2C17">
              <w:rPr>
                <w:rFonts w:cs="Times New Roman"/>
              </w:rPr>
              <w:t xml:space="preserve"> </w:t>
            </w:r>
            <w:r w:rsidR="006A2392" w:rsidRPr="005C2C17">
              <w:rPr>
                <w:rFonts w:cs="Times New Roman"/>
              </w:rPr>
              <w:t xml:space="preserve">5 </w:t>
            </w:r>
            <w:r w:rsidR="006A1F2B">
              <w:rPr>
                <w:rFonts w:cs="Times New Roman"/>
              </w:rPr>
              <w:t xml:space="preserve">stīgu kontrabasu </w:t>
            </w:r>
            <w:r w:rsidR="006A2392" w:rsidRPr="005C2C17">
              <w:rPr>
                <w:rFonts w:cs="Times New Roman"/>
              </w:rPr>
              <w:t xml:space="preserve"> </w:t>
            </w:r>
            <w:r w:rsidRPr="005C2C17">
              <w:rPr>
                <w:rFonts w:cs="Times New Roman"/>
              </w:rPr>
              <w:t xml:space="preserve">(turpmāk tekstā prece), ievērojot Pasūtītāja </w:t>
            </w:r>
            <w:r w:rsidR="006A2392" w:rsidRPr="005C2C17">
              <w:rPr>
                <w:rFonts w:cs="Times New Roman"/>
              </w:rPr>
              <w:t>prasības un</w:t>
            </w:r>
            <w:r w:rsidRPr="005C2C17">
              <w:rPr>
                <w:rFonts w:cs="Times New Roman"/>
              </w:rPr>
              <w:t xml:space="preserve"> </w:t>
            </w:r>
            <w:r w:rsidR="006A2392" w:rsidRPr="005C2C17">
              <w:rPr>
                <w:rFonts w:cs="Times New Roman"/>
              </w:rPr>
              <w:t xml:space="preserve">Pārdevēja piedāvājumu iepirkumā </w:t>
            </w:r>
            <w:r w:rsidR="00F21136" w:rsidRPr="005C2C17">
              <w:rPr>
                <w:rFonts w:cs="Times New Roman"/>
              </w:rPr>
              <w:t xml:space="preserve">  </w:t>
            </w:r>
            <w:r w:rsidRPr="005C2C17">
              <w:rPr>
                <w:rFonts w:cs="Times New Roman"/>
              </w:rPr>
              <w:t xml:space="preserve"> „</w:t>
            </w:r>
            <w:r w:rsidR="00D17996">
              <w:rPr>
                <w:rFonts w:cs="Times New Roman"/>
              </w:rPr>
              <w:t>5 stīgu kontrabasa iegāde VSIA “Latvijas Nacionālā opera un balets” vajadzībām</w:t>
            </w:r>
            <w:r w:rsidR="00520DAC" w:rsidRPr="005C2C17">
              <w:rPr>
                <w:rFonts w:cs="Times New Roman"/>
              </w:rPr>
              <w:t>”, id.</w:t>
            </w:r>
            <w:r w:rsidR="006A2392" w:rsidRPr="005C2C17">
              <w:rPr>
                <w:rFonts w:cs="Times New Roman"/>
              </w:rPr>
              <w:t xml:space="preserve"> </w:t>
            </w:r>
            <w:r w:rsidR="00520DAC" w:rsidRPr="005C2C17">
              <w:rPr>
                <w:rFonts w:cs="Times New Roman"/>
              </w:rPr>
              <w:t>n</w:t>
            </w:r>
            <w:r w:rsidR="006A2392" w:rsidRPr="005C2C17">
              <w:rPr>
                <w:rFonts w:cs="Times New Roman"/>
              </w:rPr>
              <w:t>r. LNO 2018</w:t>
            </w:r>
            <w:r w:rsidRPr="005C2C17">
              <w:rPr>
                <w:rFonts w:cs="Times New Roman"/>
              </w:rPr>
              <w:t>/</w:t>
            </w:r>
            <w:r w:rsidR="00D17996">
              <w:rPr>
                <w:rFonts w:cs="Times New Roman"/>
              </w:rPr>
              <w:t>13</w:t>
            </w:r>
            <w:r w:rsidRPr="005C2C17">
              <w:rPr>
                <w:rFonts w:cs="Times New Roman"/>
              </w:rPr>
              <w:t xml:space="preserve">, </w:t>
            </w:r>
            <w:r w:rsidR="00F21136" w:rsidRPr="005C2C17">
              <w:rPr>
                <w:rFonts w:cs="Times New Roman"/>
              </w:rPr>
              <w:t xml:space="preserve">  __ daļa (Līguma pielikums)</w:t>
            </w:r>
            <w:r w:rsidRPr="005C2C17">
              <w:rPr>
                <w:rFonts w:cs="Times New Roman"/>
              </w:rPr>
              <w:t>.</w:t>
            </w:r>
          </w:p>
          <w:p w:rsidR="00764759" w:rsidRPr="005C2C17" w:rsidRDefault="00764759" w:rsidP="00730F30">
            <w:pPr>
              <w:pStyle w:val="TableContents"/>
              <w:spacing w:line="256" w:lineRule="auto"/>
              <w:ind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2. Pārdevēja pienākumi un tiesības.</w:t>
            </w:r>
          </w:p>
          <w:p w:rsidR="006D6D8A" w:rsidRPr="005C2C17" w:rsidRDefault="00E37E1C" w:rsidP="00730F30">
            <w:pPr>
              <w:pStyle w:val="TableContents"/>
              <w:spacing w:line="256" w:lineRule="auto"/>
              <w:ind w:left="57" w:right="57"/>
              <w:jc w:val="both"/>
              <w:rPr>
                <w:rFonts w:cs="Times New Roman"/>
              </w:rPr>
            </w:pPr>
            <w:r w:rsidRPr="005C2C17">
              <w:rPr>
                <w:rFonts w:cs="Times New Roman"/>
              </w:rPr>
              <w:t xml:space="preserve">2.1. Pārdevējs </w:t>
            </w:r>
            <w:r w:rsidR="006D6D8A" w:rsidRPr="005C2C17">
              <w:rPr>
                <w:rFonts w:cs="Times New Roman"/>
              </w:rPr>
              <w:t>piegādā preci</w:t>
            </w:r>
            <w:r w:rsidR="00AC619B" w:rsidRPr="005C2C17">
              <w:rPr>
                <w:rFonts w:cs="Times New Roman"/>
              </w:rPr>
              <w:t xml:space="preserve"> līdz Pasūtītājam</w:t>
            </w:r>
            <w:r w:rsidR="006A1F2B">
              <w:rPr>
                <w:rFonts w:cs="Times New Roman"/>
              </w:rPr>
              <w:t xml:space="preserve"> atbilstoši Līgumā </w:t>
            </w:r>
            <w:r w:rsidR="006D6D8A" w:rsidRPr="005C2C17">
              <w:rPr>
                <w:rFonts w:cs="Times New Roman"/>
              </w:rPr>
              <w:t>noteiktajam</w:t>
            </w:r>
            <w:r w:rsidR="006A1F2B">
              <w:rPr>
                <w:rFonts w:cs="Times New Roman"/>
              </w:rPr>
              <w:t xml:space="preserve"> (Līguma pielikums – tehniskā specifikācija)</w:t>
            </w:r>
            <w:r w:rsidR="006D6D8A" w:rsidRPr="005C2C17">
              <w:rPr>
                <w:rFonts w:cs="Times New Roman"/>
              </w:rPr>
              <w:t xml:space="preserve">, izpildot Pasūtītāja prasības pilnā apmērā par preces tehniskajiem parametriem un tehnisko stāvokli. </w:t>
            </w:r>
          </w:p>
          <w:p w:rsidR="00E37E1C" w:rsidRPr="005C2C17" w:rsidRDefault="00D822F4" w:rsidP="00730F30">
            <w:pPr>
              <w:pStyle w:val="TableContents"/>
              <w:spacing w:line="256" w:lineRule="auto"/>
              <w:ind w:left="57" w:right="57"/>
              <w:jc w:val="both"/>
              <w:rPr>
                <w:rFonts w:cs="Times New Roman"/>
              </w:rPr>
            </w:pPr>
            <w:r w:rsidRPr="005C2C17">
              <w:rPr>
                <w:rFonts w:cs="Times New Roman"/>
              </w:rPr>
              <w:t>2.2</w:t>
            </w:r>
            <w:r w:rsidR="00E37E1C" w:rsidRPr="005C2C17">
              <w:rPr>
                <w:rFonts w:cs="Times New Roman"/>
              </w:rPr>
              <w:t xml:space="preserve">. Preces piegādes termiņš – ne ilgāk kā 2 (divu) </w:t>
            </w:r>
            <w:r w:rsidR="006D6D8A" w:rsidRPr="005C2C17">
              <w:rPr>
                <w:rFonts w:cs="Times New Roman"/>
              </w:rPr>
              <w:t xml:space="preserve">nedēļu </w:t>
            </w:r>
            <w:r w:rsidR="00E37E1C" w:rsidRPr="005C2C17">
              <w:rPr>
                <w:rFonts w:cs="Times New Roman"/>
              </w:rPr>
              <w:t>laikā, skaitot no Līguma noslēgšanas dienas.</w:t>
            </w:r>
          </w:p>
          <w:p w:rsidR="00290206" w:rsidRPr="005C2C17" w:rsidRDefault="00D822F4" w:rsidP="00730F30">
            <w:pPr>
              <w:pStyle w:val="TableContents"/>
              <w:spacing w:line="256" w:lineRule="auto"/>
              <w:ind w:left="57" w:right="57"/>
              <w:jc w:val="both"/>
              <w:rPr>
                <w:rFonts w:cs="Times New Roman"/>
              </w:rPr>
            </w:pPr>
            <w:r w:rsidRPr="005C2C17">
              <w:rPr>
                <w:rFonts w:cs="Times New Roman"/>
              </w:rPr>
              <w:t>2.3.</w:t>
            </w:r>
            <w:r w:rsidR="00AC619B" w:rsidRPr="005C2C17">
              <w:rPr>
                <w:rFonts w:cs="Times New Roman"/>
              </w:rPr>
              <w:t xml:space="preserve"> Preces </w:t>
            </w:r>
            <w:r w:rsidR="002A6831" w:rsidRPr="005C2C17">
              <w:rPr>
                <w:rFonts w:cs="Times New Roman"/>
              </w:rPr>
              <w:t>nodošanas/</w:t>
            </w:r>
            <w:r w:rsidR="00AC619B" w:rsidRPr="005C2C17">
              <w:rPr>
                <w:rFonts w:cs="Times New Roman"/>
              </w:rPr>
              <w:t xml:space="preserve">pieņemšanas vieta – Aspazijas bulvāris 3, Rīgā, LV-1050, Latvija.  </w:t>
            </w:r>
          </w:p>
          <w:p w:rsidR="00290206" w:rsidRPr="005C2C17" w:rsidRDefault="00290206" w:rsidP="00730F30">
            <w:pPr>
              <w:pStyle w:val="TableContents"/>
              <w:spacing w:line="256" w:lineRule="auto"/>
              <w:ind w:left="57" w:right="57"/>
              <w:jc w:val="both"/>
              <w:rPr>
                <w:rFonts w:cs="Times New Roman"/>
              </w:rPr>
            </w:pPr>
            <w:r w:rsidRPr="005C2C17">
              <w:rPr>
                <w:rFonts w:cs="Times New Roman"/>
              </w:rPr>
              <w:t xml:space="preserve">2.4. </w:t>
            </w:r>
            <w:r w:rsidR="00AC619B" w:rsidRPr="005C2C17">
              <w:rPr>
                <w:rFonts w:cs="Times New Roman"/>
              </w:rPr>
              <w:t>Preces pieņemšanas kārtība</w:t>
            </w:r>
            <w:r w:rsidR="006A1F2B">
              <w:rPr>
                <w:rFonts w:cs="Times New Roman"/>
              </w:rPr>
              <w:t>:</w:t>
            </w:r>
            <w:r w:rsidR="00AC619B" w:rsidRPr="005C2C17">
              <w:rPr>
                <w:rFonts w:cs="Times New Roman"/>
              </w:rPr>
              <w:t xml:space="preserve"> puses sagatavo un paraksta preces nodošanas </w:t>
            </w:r>
            <w:r w:rsidR="00AC619B" w:rsidRPr="005C2C17">
              <w:rPr>
                <w:rFonts w:cs="Times New Roman"/>
              </w:rPr>
              <w:lastRenderedPageBreak/>
              <w:t>– pieņemšanas aktu.</w:t>
            </w:r>
            <w:r w:rsidRPr="005C2C17">
              <w:rPr>
                <w:rFonts w:cs="Times New Roman"/>
              </w:rPr>
              <w:t xml:space="preserve"> </w:t>
            </w:r>
          </w:p>
          <w:p w:rsidR="00290206" w:rsidRPr="005C2C17" w:rsidRDefault="00290206" w:rsidP="00730F30">
            <w:pPr>
              <w:pStyle w:val="TableContents"/>
              <w:spacing w:line="256" w:lineRule="auto"/>
              <w:ind w:left="57" w:right="57"/>
              <w:jc w:val="both"/>
              <w:rPr>
                <w:rFonts w:cs="Times New Roman"/>
              </w:rPr>
            </w:pPr>
            <w:r w:rsidRPr="005C2C17">
              <w:rPr>
                <w:rFonts w:cs="Times New Roman"/>
              </w:rPr>
              <w:t xml:space="preserve">2.5. Piegādātā prece, kas neatbilst Pasūtītāja prasībām, ir atgriežama Pārdevējam. Šajā gadījumā -  Pasūtītājs </w:t>
            </w:r>
            <w:r w:rsidR="002A6831" w:rsidRPr="005C2C17">
              <w:rPr>
                <w:rFonts w:cs="Times New Roman"/>
              </w:rPr>
              <w:t>norāda</w:t>
            </w:r>
            <w:r w:rsidRPr="005C2C17">
              <w:rPr>
                <w:rFonts w:cs="Times New Roman"/>
              </w:rPr>
              <w:t xml:space="preserve"> preces nepieņemšanas iemeslus, izsaka pretenziju Pārdevējam</w:t>
            </w:r>
            <w:r w:rsidR="003837AC" w:rsidRPr="005C2C17">
              <w:rPr>
                <w:rFonts w:cs="Times New Roman"/>
              </w:rPr>
              <w:t xml:space="preserve"> bez kavēšanās</w:t>
            </w:r>
            <w:r w:rsidR="002A6831" w:rsidRPr="005C2C17">
              <w:rPr>
                <w:rFonts w:cs="Times New Roman"/>
              </w:rPr>
              <w:t>.</w:t>
            </w:r>
            <w:r w:rsidR="003837AC" w:rsidRPr="005C2C17">
              <w:rPr>
                <w:rFonts w:cs="Times New Roman"/>
              </w:rPr>
              <w:t xml:space="preserve"> Pārdevēja pienākums ir </w:t>
            </w:r>
            <w:r w:rsidR="002A6831" w:rsidRPr="005C2C17">
              <w:rPr>
                <w:rFonts w:cs="Times New Roman"/>
              </w:rPr>
              <w:t xml:space="preserve">vajadzības gadījumā </w:t>
            </w:r>
            <w:r w:rsidR="003837AC" w:rsidRPr="005C2C17">
              <w:rPr>
                <w:rFonts w:cs="Times New Roman"/>
              </w:rPr>
              <w:t>apmaksāt preces atgriešanas izmaksas</w:t>
            </w:r>
            <w:r w:rsidR="002A6831" w:rsidRPr="005C2C17">
              <w:rPr>
                <w:rFonts w:cs="Times New Roman"/>
              </w:rPr>
              <w:t xml:space="preserve"> un bez kavēšanās</w:t>
            </w:r>
            <w:r w:rsidR="009A285A" w:rsidRPr="005C2C17">
              <w:rPr>
                <w:rFonts w:cs="Times New Roman"/>
              </w:rPr>
              <w:t xml:space="preserve"> lemt par atbilstošas preces piegādi jeb Līguma izpildi atbilstoši Pasūtītāja prasībām</w:t>
            </w:r>
            <w:r w:rsidR="003837AC" w:rsidRPr="005C2C17">
              <w:rPr>
                <w:rFonts w:cs="Times New Roman"/>
              </w:rPr>
              <w:t>.</w:t>
            </w:r>
            <w:r w:rsidRPr="005C2C17">
              <w:rPr>
                <w:rFonts w:cs="Times New Roman"/>
              </w:rPr>
              <w:t xml:space="preserve"> </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3. Pasūtītāja pienākumi un tiesības.</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3.1. Pasūtītājs apņemas samaksāt par preci saskaņā ar šī Līguma 4.punkta noteikumiem.</w:t>
            </w:r>
          </w:p>
          <w:p w:rsidR="00730F30" w:rsidRPr="005C2C17" w:rsidRDefault="00E37E1C" w:rsidP="00730F30">
            <w:pPr>
              <w:pStyle w:val="TableContents"/>
              <w:spacing w:line="256" w:lineRule="auto"/>
              <w:ind w:left="57" w:right="57"/>
              <w:jc w:val="both"/>
              <w:rPr>
                <w:rFonts w:cs="Times New Roman"/>
              </w:rPr>
            </w:pPr>
            <w:r w:rsidRPr="005C2C17">
              <w:rPr>
                <w:rFonts w:cs="Times New Roman"/>
              </w:rPr>
              <w:t>3.2. Pasūtītājs no</w:t>
            </w:r>
            <w:r w:rsidR="006D6D8A" w:rsidRPr="005C2C17">
              <w:rPr>
                <w:rFonts w:cs="Times New Roman"/>
              </w:rPr>
              <w:t>saka savu pilnvaroto pārstāvi –</w:t>
            </w:r>
            <w:r w:rsidRPr="005C2C17">
              <w:rPr>
                <w:rFonts w:cs="Times New Roman"/>
              </w:rPr>
              <w:t xml:space="preserve"> orķestra tehniskās daļas vadītāju Mareku Auziņu (tālr. +371 26399216, e-pasts: </w:t>
            </w:r>
            <w:hyperlink r:id="rId10" w:history="1">
              <w:r w:rsidRPr="005C2C17">
                <w:rPr>
                  <w:rStyle w:val="Hyperlink"/>
                  <w:rFonts w:cs="Times New Roman"/>
                </w:rPr>
                <w:t>mareks.auzins@opera.lv</w:t>
              </w:r>
            </w:hyperlink>
            <w:r w:rsidRPr="005C2C17">
              <w:rPr>
                <w:rFonts w:cs="Times New Roman"/>
              </w:rPr>
              <w:t xml:space="preserve">), kurš ir pilnvarots Pasūtītāja vārdā risināt visus ar šī Līguma izpildi saistītos jautājumus, kā arī tiesību aktu un Līguma neievērošanas gadījumā nepieņemt preci līdz trūkumu novēršanai. </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4. Preces cena, norēķinu kārtība.</w:t>
            </w:r>
          </w:p>
          <w:p w:rsidR="00E37E1C" w:rsidRPr="005C2C17" w:rsidRDefault="00AC619B" w:rsidP="00730F30">
            <w:pPr>
              <w:pStyle w:val="TableContents"/>
              <w:spacing w:line="256" w:lineRule="auto"/>
              <w:ind w:left="57" w:right="57"/>
              <w:jc w:val="both"/>
              <w:rPr>
                <w:rFonts w:cs="Times New Roman"/>
              </w:rPr>
            </w:pPr>
            <w:r w:rsidRPr="005C2C17">
              <w:rPr>
                <w:rFonts w:cs="Times New Roman"/>
              </w:rPr>
              <w:t>4.1</w:t>
            </w:r>
            <w:r w:rsidR="00E37E1C" w:rsidRPr="005C2C17">
              <w:rPr>
                <w:rFonts w:cs="Times New Roman"/>
              </w:rPr>
              <w:t>. Pasūtītājs maksā Pārdevējam cenu par preci  ________ EUR, neieskaitot PVN (turpmāk tekstā līguma summa). Samaksa par preci tiek veikta</w:t>
            </w:r>
            <w:r w:rsidR="003837AC" w:rsidRPr="005C2C17">
              <w:rPr>
                <w:rFonts w:cs="Times New Roman"/>
              </w:rPr>
              <w:t xml:space="preserve"> piecu</w:t>
            </w:r>
            <w:r w:rsidR="00E37E1C" w:rsidRPr="005C2C17">
              <w:rPr>
                <w:rFonts w:cs="Times New Roman"/>
              </w:rPr>
              <w:t xml:space="preserve"> darba dienu laikā, skaitot no </w:t>
            </w:r>
            <w:r w:rsidR="003837AC" w:rsidRPr="005C2C17">
              <w:rPr>
                <w:rFonts w:cs="Times New Roman"/>
              </w:rPr>
              <w:t>preces piegādes / preces pieņemšanas dienas.</w:t>
            </w:r>
          </w:p>
          <w:p w:rsidR="00E37E1C" w:rsidRPr="005C2C17" w:rsidRDefault="00E37E1C" w:rsidP="00730F30">
            <w:pPr>
              <w:jc w:val="both"/>
              <w:rPr>
                <w:color w:val="000000" w:themeColor="text1"/>
                <w:lang w:val="lv-LV"/>
              </w:rPr>
            </w:pPr>
            <w:r w:rsidRPr="005C2C17">
              <w:rPr>
                <w:color w:val="000000" w:themeColor="text1"/>
                <w:lang w:val="lv-LV"/>
              </w:rPr>
              <w:t xml:space="preserve">4.3. Pārdevējs iesniedz Pasūtītājam rēķinu par preci elektroniski uz Pasūtītāja adresi: </w:t>
            </w:r>
            <w:hyperlink r:id="rId11" w:history="1">
              <w:r w:rsidRPr="005C2C17">
                <w:rPr>
                  <w:rStyle w:val="Hyperlink"/>
                  <w:color w:val="000000" w:themeColor="text1"/>
                  <w:lang w:val="lv-LV"/>
                </w:rPr>
                <w:t>rekini@opera.lv</w:t>
              </w:r>
            </w:hyperlink>
            <w:r w:rsidRPr="005C2C17">
              <w:rPr>
                <w:rStyle w:val="Hyperlink"/>
                <w:color w:val="000000" w:themeColor="text1"/>
                <w:lang w:val="lv-LV"/>
              </w:rPr>
              <w:t>.</w:t>
            </w:r>
            <w:r w:rsidRPr="005C2C17">
              <w:rPr>
                <w:color w:val="000000" w:themeColor="text1"/>
                <w:lang w:val="lv-LV"/>
              </w:rPr>
              <w:t xml:space="preserve"> </w:t>
            </w:r>
          </w:p>
          <w:p w:rsidR="00E37E1C" w:rsidRPr="005C2C17" w:rsidRDefault="00E37E1C" w:rsidP="00730F30">
            <w:pPr>
              <w:jc w:val="both"/>
              <w:rPr>
                <w:color w:val="000000" w:themeColor="text1"/>
                <w:lang w:val="lv-LV"/>
              </w:rPr>
            </w:pPr>
            <w:r w:rsidRPr="005C2C17">
              <w:rPr>
                <w:color w:val="000000" w:themeColor="text1"/>
                <w:lang w:val="lv-LV"/>
              </w:rPr>
              <w:t>4.4. Ievērojot preces cenu, Pasūtītājs samaksā pievienotās vērtības nodokli saskaņā ar Latvijas Republikas normatīvajiem tiesību aktiem.</w:t>
            </w:r>
          </w:p>
          <w:p w:rsidR="00764759" w:rsidRPr="005C2C17" w:rsidRDefault="00764759" w:rsidP="00730F30">
            <w:pPr>
              <w:jc w:val="both"/>
              <w:rPr>
                <w:color w:val="000000" w:themeColor="text1"/>
                <w:lang w:val="lv-LV"/>
              </w:rPr>
            </w:pPr>
          </w:p>
          <w:p w:rsidR="00E37E1C" w:rsidRPr="005C2C17" w:rsidRDefault="00E37E1C" w:rsidP="00730F30">
            <w:pPr>
              <w:pStyle w:val="TableContents"/>
              <w:spacing w:line="256" w:lineRule="auto"/>
              <w:ind w:left="57" w:right="57"/>
              <w:jc w:val="both"/>
              <w:rPr>
                <w:rFonts w:cs="Times New Roman"/>
                <w:b/>
                <w:bCs/>
              </w:rPr>
            </w:pPr>
            <w:r w:rsidRPr="005C2C17">
              <w:rPr>
                <w:rFonts w:cs="Times New Roman"/>
                <w:b/>
                <w:bCs/>
              </w:rPr>
              <w:t>5. Līguma termiņš.</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Līgums</w:t>
            </w:r>
            <w:r w:rsidR="00384DBE" w:rsidRPr="005C2C17">
              <w:rPr>
                <w:rFonts w:cs="Times New Roman"/>
              </w:rPr>
              <w:t xml:space="preserve"> stājas spēkā </w:t>
            </w:r>
            <w:r w:rsidR="000A0822">
              <w:rPr>
                <w:rFonts w:cs="Times New Roman"/>
              </w:rPr>
              <w:t xml:space="preserve">– pusēm abpusēji </w:t>
            </w:r>
            <w:r w:rsidR="006A1F2B">
              <w:rPr>
                <w:rFonts w:cs="Times New Roman"/>
              </w:rPr>
              <w:t xml:space="preserve">to </w:t>
            </w:r>
            <w:r w:rsidR="000A0822">
              <w:rPr>
                <w:rFonts w:cs="Times New Roman"/>
              </w:rPr>
              <w:t xml:space="preserve">parakstot. </w:t>
            </w:r>
            <w:r w:rsidRPr="005C2C17">
              <w:rPr>
                <w:rFonts w:cs="Times New Roman"/>
              </w:rPr>
              <w:t>Līgums spēkā līdz pilnīgai Līgumā paredzēto saistību izpildei.</w:t>
            </w:r>
          </w:p>
          <w:p w:rsidR="00764759" w:rsidRPr="005C2C17" w:rsidRDefault="00764759" w:rsidP="00730F30">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lastRenderedPageBreak/>
              <w:t>6. Atbildība, strīdu izskatīšana.</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6.1. Ja kāda no Pusēm neizpilda Līgumā paredzētās saistības, tā atlīdzina otrai Pusei saistību neizpildes rezultātā radušos zaudējumus.</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6.2. Puses apņemas darīt visu iespējamo, lai visus strīdus, kas izriet no šī Līguma, atrisinātu pārrunu ceļā. Ja pārrunu rezultātā vienošanās netiek panākta, tad strīds izskatāms Latvijas tiesā, piemērojot Latvijas Republikas normatīvos aktus.</w:t>
            </w:r>
          </w:p>
          <w:p w:rsidR="00E37E1C" w:rsidRPr="005C2C17" w:rsidRDefault="00E37E1C" w:rsidP="00730F30">
            <w:pPr>
              <w:pStyle w:val="TableContents"/>
              <w:spacing w:line="256" w:lineRule="auto"/>
              <w:ind w:left="57" w:right="57"/>
              <w:jc w:val="both"/>
              <w:rPr>
                <w:rFonts w:cs="Times New Roman"/>
              </w:rPr>
            </w:pPr>
            <w:r w:rsidRPr="005C2C17">
              <w:rPr>
                <w:rFonts w:cs="Times New Roman"/>
              </w:rPr>
              <w:t>6.3. Par</w:t>
            </w:r>
            <w:r w:rsidR="009827AF" w:rsidRPr="005C2C17">
              <w:rPr>
                <w:rFonts w:cs="Times New Roman"/>
              </w:rPr>
              <w:t xml:space="preserve"> maksājuma termiņa neievērošanu </w:t>
            </w:r>
            <w:r w:rsidRPr="005C2C17">
              <w:rPr>
                <w:rFonts w:cs="Times New Roman"/>
              </w:rPr>
              <w:t>Pasūtītājs maksā Pārdevējam līgumsodu 0,1% (nulle komats vie</w:t>
            </w:r>
            <w:r w:rsidR="00764759" w:rsidRPr="005C2C17">
              <w:rPr>
                <w:rFonts w:cs="Times New Roman"/>
              </w:rPr>
              <w:t>ns procenti) apmērā no kavētās l</w:t>
            </w:r>
            <w:r w:rsidRPr="005C2C17">
              <w:rPr>
                <w:rFonts w:cs="Times New Roman"/>
              </w:rPr>
              <w:t>īguma summas par katru nokavēto dienu</w:t>
            </w:r>
            <w:r w:rsidR="009827AF" w:rsidRPr="005C2C17">
              <w:rPr>
                <w:rFonts w:cs="Times New Roman"/>
              </w:rPr>
              <w:t>, ievērojot tos līgumsoda aprēķināšanas ierobežojumus, kurus nosaka Latvijas Republikas Civillikums</w:t>
            </w:r>
            <w:r w:rsidRPr="005C2C17">
              <w:rPr>
                <w:rFonts w:cs="Times New Roman"/>
              </w:rPr>
              <w:t xml:space="preserve">. </w:t>
            </w:r>
          </w:p>
          <w:p w:rsidR="00524A79" w:rsidRDefault="00E37E1C" w:rsidP="00764759">
            <w:pPr>
              <w:pStyle w:val="TableContents"/>
              <w:spacing w:line="256" w:lineRule="auto"/>
              <w:ind w:left="57" w:right="57"/>
              <w:jc w:val="both"/>
              <w:rPr>
                <w:rFonts w:cs="Times New Roman"/>
              </w:rPr>
            </w:pPr>
            <w:r w:rsidRPr="005C2C17">
              <w:rPr>
                <w:rFonts w:cs="Times New Roman"/>
              </w:rPr>
              <w:t xml:space="preserve">6.4. </w:t>
            </w:r>
            <w:r w:rsidR="00384DBE" w:rsidRPr="005C2C17">
              <w:rPr>
                <w:rFonts w:cs="Times New Roman"/>
              </w:rPr>
              <w:t>Par piegādes termiņa neievērošanu, Pārdevējs maksā Pasūtītājam līgumsodu 0,1% (nulle ko</w:t>
            </w:r>
            <w:r w:rsidR="00764759" w:rsidRPr="005C2C17">
              <w:rPr>
                <w:rFonts w:cs="Times New Roman"/>
              </w:rPr>
              <w:t>mats viens procenti) apmērā no l</w:t>
            </w:r>
            <w:r w:rsidR="00384DBE" w:rsidRPr="005C2C17">
              <w:rPr>
                <w:rFonts w:cs="Times New Roman"/>
              </w:rPr>
              <w:t xml:space="preserve">īguma summas par katru nokavēto </w:t>
            </w:r>
            <w:r w:rsidR="009827AF" w:rsidRPr="005C2C17">
              <w:rPr>
                <w:rFonts w:cs="Times New Roman"/>
              </w:rPr>
              <w:t xml:space="preserve">piegādes </w:t>
            </w:r>
            <w:r w:rsidR="00384DBE" w:rsidRPr="005C2C17">
              <w:rPr>
                <w:rFonts w:cs="Times New Roman"/>
              </w:rPr>
              <w:t>dienu</w:t>
            </w:r>
            <w:r w:rsidR="009827AF" w:rsidRPr="005C2C17">
              <w:rPr>
                <w:rFonts w:cs="Times New Roman"/>
              </w:rPr>
              <w:t xml:space="preserve">, ievērojot tos līgumsoda aprēķināšanas ierobežojumus, kurus nosaka Latvijas Republikas Civillikums. </w:t>
            </w:r>
            <w:r w:rsidR="00384DBE" w:rsidRPr="005C2C17">
              <w:rPr>
                <w:rFonts w:cs="Times New Roman"/>
              </w:rPr>
              <w:t xml:space="preserve"> </w:t>
            </w:r>
          </w:p>
          <w:p w:rsidR="00130163" w:rsidRPr="005C2C17" w:rsidRDefault="00130163" w:rsidP="00764759">
            <w:pPr>
              <w:pStyle w:val="TableContents"/>
              <w:spacing w:line="256" w:lineRule="auto"/>
              <w:ind w:left="57" w:right="57"/>
              <w:jc w:val="both"/>
              <w:rPr>
                <w:rFonts w:cs="Times New Roman"/>
              </w:rPr>
            </w:pPr>
            <w:r>
              <w:rPr>
                <w:rFonts w:cs="Times New Roman"/>
              </w:rPr>
              <w:t>6.5.Puse ir tiesīga vienpusēji lauzt līgumu, ja otra Puse nepilda Līgumu ilgāk par 30 kalendārajām dienām. Par līguma vienpusēju pārtraukšanu – jāpaziņo otrai Pusei 10 kalendārās dienas iepriekš.</w:t>
            </w:r>
          </w:p>
          <w:p w:rsidR="00764759" w:rsidRPr="005C2C17" w:rsidRDefault="00764759" w:rsidP="00764759">
            <w:pPr>
              <w:pStyle w:val="TableContents"/>
              <w:spacing w:line="256" w:lineRule="auto"/>
              <w:ind w:left="57" w:right="57"/>
              <w:jc w:val="both"/>
              <w:rPr>
                <w:rFonts w:cs="Times New Roman"/>
              </w:rPr>
            </w:pPr>
          </w:p>
          <w:p w:rsidR="00E37E1C" w:rsidRPr="005C2C17" w:rsidRDefault="00E37E1C" w:rsidP="00730F30">
            <w:pPr>
              <w:pStyle w:val="TableContents"/>
              <w:spacing w:line="256" w:lineRule="auto"/>
              <w:ind w:left="57" w:right="57"/>
              <w:jc w:val="both"/>
              <w:rPr>
                <w:rFonts w:cs="Times New Roman"/>
              </w:rPr>
            </w:pPr>
            <w:r w:rsidRPr="005C2C17">
              <w:rPr>
                <w:rFonts w:cs="Times New Roman"/>
                <w:b/>
                <w:bCs/>
              </w:rPr>
              <w:t>7. Citi noteikumi.</w:t>
            </w:r>
          </w:p>
          <w:p w:rsidR="006A1F2B" w:rsidRDefault="00E37E1C" w:rsidP="00730F30">
            <w:pPr>
              <w:pStyle w:val="TableContents"/>
              <w:spacing w:line="256" w:lineRule="auto"/>
              <w:ind w:left="57" w:right="57"/>
              <w:jc w:val="both"/>
              <w:rPr>
                <w:rFonts w:cs="Times New Roman"/>
              </w:rPr>
            </w:pPr>
            <w:r w:rsidRPr="005C2C17">
              <w:rPr>
                <w:rFonts w:cs="Times New Roman"/>
              </w:rPr>
              <w:t xml:space="preserve">7.1. Grozījumi </w:t>
            </w:r>
            <w:r w:rsidR="006A1F2B">
              <w:rPr>
                <w:rFonts w:cs="Times New Roman"/>
              </w:rPr>
              <w:t>un papildinājumi Līgumā veicami</w:t>
            </w:r>
            <w:r w:rsidRPr="005C2C17">
              <w:rPr>
                <w:rFonts w:cs="Times New Roman"/>
              </w:rPr>
              <w:t xml:space="preserve"> Pusēm iepriekš vienojoties. Šādi Līguma grozījumi un papildinājumi ir noformējami</w:t>
            </w:r>
            <w:r w:rsidR="006A1F2B">
              <w:rPr>
                <w:rFonts w:cs="Times New Roman"/>
              </w:rPr>
              <w:t xml:space="preserve"> rakstveidā kā Līguma pielikumi.</w:t>
            </w:r>
            <w:r w:rsidRPr="005C2C17">
              <w:rPr>
                <w:rFonts w:cs="Times New Roman"/>
              </w:rPr>
              <w:t xml:space="preserve"> </w:t>
            </w:r>
          </w:p>
          <w:p w:rsidR="00E37E1C" w:rsidRDefault="00E37E1C" w:rsidP="008F0D8A">
            <w:pPr>
              <w:pStyle w:val="Standard"/>
              <w:spacing w:line="256" w:lineRule="auto"/>
              <w:ind w:left="57" w:right="57"/>
              <w:jc w:val="both"/>
              <w:rPr>
                <w:lang w:val="lv-LV"/>
              </w:rPr>
            </w:pPr>
            <w:r w:rsidRPr="005C2C17">
              <w:rPr>
                <w:lang w:val="lv-LV"/>
              </w:rPr>
              <w:t>7</w:t>
            </w:r>
            <w:r w:rsidR="00F0374D">
              <w:rPr>
                <w:lang w:val="lv-LV"/>
              </w:rPr>
              <w:t>.2</w:t>
            </w:r>
            <w:r w:rsidRPr="005C2C17">
              <w:rPr>
                <w:lang w:val="lv-LV"/>
              </w:rPr>
              <w:t xml:space="preserve">. Līgums sagatavots </w:t>
            </w:r>
            <w:r w:rsidR="005C2C17">
              <w:rPr>
                <w:lang w:val="lv-LV"/>
              </w:rPr>
              <w:t>uz 4</w:t>
            </w:r>
            <w:r w:rsidRPr="005C2C17">
              <w:rPr>
                <w:lang w:val="lv-LV"/>
              </w:rPr>
              <w:t xml:space="preserve"> lapām, 2 eksemplāros</w:t>
            </w:r>
            <w:r w:rsidR="008F0D8A">
              <w:rPr>
                <w:lang w:val="lv-LV"/>
              </w:rPr>
              <w:t>,</w:t>
            </w:r>
            <w:r w:rsidRPr="005C2C17">
              <w:rPr>
                <w:lang w:val="lv-LV"/>
              </w:rPr>
              <w:t xml:space="preserve"> ar vienādu juridisko spēku</w:t>
            </w:r>
            <w:r w:rsidR="008F0D8A">
              <w:rPr>
                <w:lang w:val="lv-LV"/>
              </w:rPr>
              <w:t xml:space="preserve">. </w:t>
            </w:r>
          </w:p>
          <w:p w:rsidR="00F0374D" w:rsidRPr="005C2C17" w:rsidRDefault="00F0374D" w:rsidP="008F0D8A">
            <w:pPr>
              <w:pStyle w:val="Standard"/>
              <w:spacing w:line="256" w:lineRule="auto"/>
              <w:ind w:left="57" w:right="57"/>
              <w:jc w:val="both"/>
              <w:rPr>
                <w:lang w:val="lv-LV"/>
              </w:rPr>
            </w:pPr>
            <w:r>
              <w:rPr>
                <w:lang w:val="lv-LV"/>
              </w:rPr>
              <w:t>7.3. Līguma pielikumā – Pārdevēja piedāvājums uz __ lapām.</w:t>
            </w:r>
          </w:p>
        </w:tc>
        <w:tc>
          <w:tcPr>
            <w:tcW w:w="765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57C74" w:rsidRPr="00021874" w:rsidRDefault="008F3F5E" w:rsidP="00657C74">
            <w:pPr>
              <w:pStyle w:val="TableContents"/>
              <w:spacing w:line="256" w:lineRule="auto"/>
              <w:ind w:left="57" w:right="57"/>
              <w:jc w:val="center"/>
              <w:rPr>
                <w:rFonts w:cs="Times New Roman"/>
                <w:lang w:val="en-GB"/>
              </w:rPr>
            </w:pPr>
            <w:r w:rsidRPr="00021874">
              <w:rPr>
                <w:rFonts w:cs="Times New Roman"/>
                <w:b/>
                <w:bCs/>
                <w:lang w:val="en-GB"/>
              </w:rPr>
              <w:lastRenderedPageBreak/>
              <w:t>CONTRACT</w:t>
            </w:r>
          </w:p>
          <w:p w:rsidR="00657C74" w:rsidRPr="00021874" w:rsidRDefault="00657C74" w:rsidP="00657C74">
            <w:pPr>
              <w:pStyle w:val="TableContents"/>
              <w:spacing w:line="256" w:lineRule="auto"/>
              <w:ind w:left="57"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lang w:val="en-GB"/>
              </w:rPr>
              <w:t>R</w:t>
            </w:r>
            <w:r w:rsidR="008F3F5E" w:rsidRPr="00021874">
              <w:rPr>
                <w:rFonts w:cs="Times New Roman"/>
                <w:lang w:val="en-GB"/>
              </w:rPr>
              <w:t>iga</w:t>
            </w:r>
            <w:r w:rsidRPr="00021874">
              <w:rPr>
                <w:rFonts w:cs="Times New Roman"/>
                <w:lang w:val="en-GB"/>
              </w:rPr>
              <w:t>,</w:t>
            </w:r>
            <w:r w:rsidRPr="00021874">
              <w:rPr>
                <w:rFonts w:cs="Times New Roman"/>
                <w:lang w:val="en-GB"/>
              </w:rPr>
              <w:tab/>
            </w: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lang w:val="en-GB"/>
              </w:rPr>
              <w:t>__.__________</w:t>
            </w:r>
            <w:r w:rsidR="008F3F5E" w:rsidRPr="00021874">
              <w:rPr>
                <w:rFonts w:cs="Times New Roman"/>
                <w:lang w:val="en-GB"/>
              </w:rPr>
              <w:t xml:space="preserve"> 2018</w:t>
            </w:r>
          </w:p>
          <w:p w:rsidR="00657C74" w:rsidRPr="00021874" w:rsidRDefault="00657C74" w:rsidP="00657C74">
            <w:pPr>
              <w:pStyle w:val="TableContents"/>
              <w:spacing w:line="256" w:lineRule="auto"/>
              <w:ind w:left="57" w:right="57"/>
              <w:jc w:val="both"/>
              <w:rPr>
                <w:rFonts w:cs="Times New Roman"/>
                <w:lang w:val="en-GB"/>
              </w:rPr>
            </w:pPr>
          </w:p>
          <w:p w:rsidR="008F3F5E" w:rsidRPr="00021874" w:rsidRDefault="008F3F5E" w:rsidP="00657C74">
            <w:pPr>
              <w:pStyle w:val="TableContents"/>
              <w:spacing w:line="256" w:lineRule="auto"/>
              <w:ind w:left="57" w:right="57"/>
              <w:jc w:val="both"/>
              <w:rPr>
                <w:rFonts w:cs="Times New Roman"/>
                <w:lang w:val="en-GB"/>
              </w:rPr>
            </w:pPr>
            <w:r w:rsidRPr="00021874">
              <w:rPr>
                <w:rFonts w:cs="Times New Roman"/>
                <w:b/>
                <w:bCs/>
                <w:lang w:val="en-GB"/>
              </w:rPr>
              <w:t>SLLC</w:t>
            </w:r>
            <w:r w:rsidR="00657C74" w:rsidRPr="00021874">
              <w:rPr>
                <w:rFonts w:cs="Times New Roman"/>
                <w:b/>
                <w:bCs/>
                <w:lang w:val="en-GB"/>
              </w:rPr>
              <w:t xml:space="preserve"> Latvijas Nacionālā opera un balets</w:t>
            </w:r>
            <w:r w:rsidR="00657C74" w:rsidRPr="00021874">
              <w:rPr>
                <w:rFonts w:cs="Times New Roman"/>
                <w:lang w:val="en-GB"/>
              </w:rPr>
              <w:t xml:space="preserve">, </w:t>
            </w:r>
            <w:r w:rsidRPr="00021874">
              <w:rPr>
                <w:rFonts w:cs="Times New Roman"/>
                <w:lang w:val="en-GB"/>
              </w:rPr>
              <w:t>registration No. 40103208907, address: 3 Aspazijas Boulevard, Riga, LV-1050, represented by Chairman of the Board Zigmars Liepiņš, acting on the basis of the Charter, hereinafter referred to as the Customer, on the one hand, and ___________________, registration No.: ________, legal address: _________________, represented by ___________, hereinafter referred to as the Seller, on the other hand, the Customer and the Seller together</w:t>
            </w:r>
            <w:r w:rsidR="00AB4E9B" w:rsidRPr="00021874">
              <w:rPr>
                <w:rFonts w:cs="Times New Roman"/>
                <w:lang w:val="en-GB"/>
              </w:rPr>
              <w:t xml:space="preserve"> and</w:t>
            </w:r>
            <w:r w:rsidRPr="00021874">
              <w:rPr>
                <w:rFonts w:cs="Times New Roman"/>
                <w:lang w:val="en-GB"/>
              </w:rPr>
              <w:t xml:space="preserve"> each separately hereinafter referred to as the Parties</w:t>
            </w:r>
            <w:r w:rsidR="00AB4E9B" w:rsidRPr="00021874">
              <w:rPr>
                <w:rFonts w:cs="Times New Roman"/>
                <w:lang w:val="en-GB"/>
              </w:rPr>
              <w:t>/Party</w:t>
            </w:r>
            <w:r w:rsidRPr="00021874">
              <w:rPr>
                <w:rFonts w:cs="Times New Roman"/>
                <w:lang w:val="en-GB"/>
              </w:rPr>
              <w:t xml:space="preserve">, conclude this </w:t>
            </w:r>
            <w:r w:rsidR="00AB4E9B" w:rsidRPr="00021874">
              <w:rPr>
                <w:rFonts w:cs="Times New Roman"/>
                <w:lang w:val="en-GB"/>
              </w:rPr>
              <w:t>Contract</w:t>
            </w:r>
            <w:r w:rsidRPr="00021874">
              <w:rPr>
                <w:rFonts w:cs="Times New Roman"/>
                <w:lang w:val="en-GB"/>
              </w:rPr>
              <w:t xml:space="preserve">, hereinafter referred to as the </w:t>
            </w:r>
            <w:r w:rsidR="00AB4E9B" w:rsidRPr="00021874">
              <w:rPr>
                <w:rFonts w:cs="Times New Roman"/>
                <w:lang w:val="en-GB"/>
              </w:rPr>
              <w:t>Contract</w:t>
            </w:r>
            <w:r w:rsidRPr="00021874">
              <w:rPr>
                <w:rFonts w:cs="Times New Roman"/>
                <w:lang w:val="en-GB"/>
              </w:rPr>
              <w:t>:</w:t>
            </w:r>
          </w:p>
          <w:p w:rsidR="00657C74" w:rsidRPr="00021874" w:rsidRDefault="00657C74" w:rsidP="00657C74">
            <w:pPr>
              <w:pStyle w:val="TableContents"/>
              <w:spacing w:line="256" w:lineRule="auto"/>
              <w:ind w:left="57"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b/>
                <w:bCs/>
                <w:lang w:val="en-GB"/>
              </w:rPr>
              <w:t xml:space="preserve">1. </w:t>
            </w:r>
            <w:r w:rsidR="00AB4E9B" w:rsidRPr="00021874">
              <w:rPr>
                <w:rFonts w:cs="Times New Roman"/>
                <w:b/>
                <w:bCs/>
                <w:lang w:val="en-GB"/>
              </w:rPr>
              <w:t>Subject of the contract</w:t>
            </w:r>
          </w:p>
          <w:p w:rsidR="00AB4E9B" w:rsidRPr="00021874" w:rsidRDefault="00AB4E9B" w:rsidP="00AB4E9B">
            <w:pPr>
              <w:pStyle w:val="TableContents"/>
              <w:spacing w:line="256" w:lineRule="auto"/>
              <w:ind w:right="57"/>
              <w:jc w:val="both"/>
              <w:rPr>
                <w:rFonts w:cs="Times New Roman"/>
                <w:lang w:val="en-GB"/>
              </w:rPr>
            </w:pPr>
            <w:r w:rsidRPr="00021874">
              <w:rPr>
                <w:rFonts w:cs="Times New Roman"/>
                <w:lang w:val="en-GB"/>
              </w:rPr>
              <w:t xml:space="preserve">The Customer shall buy, and the Seller shall sell a musical instrument: 5-string double bass (hereinafter referred to as the Goods), taking into account the Customer's requirements and the Seller's offer in the “Procurement of a 5-string double bass for the needs of the Latvian National Opera and Ballet”, </w:t>
            </w:r>
          </w:p>
          <w:p w:rsidR="00657C74" w:rsidRPr="00021874" w:rsidRDefault="00AB4E9B" w:rsidP="00AB4E9B">
            <w:pPr>
              <w:pStyle w:val="TableContents"/>
              <w:spacing w:line="256" w:lineRule="auto"/>
              <w:ind w:right="57"/>
              <w:jc w:val="both"/>
              <w:rPr>
                <w:rFonts w:cs="Times New Roman"/>
                <w:lang w:val="en-GB"/>
              </w:rPr>
            </w:pPr>
            <w:r w:rsidRPr="00021874">
              <w:rPr>
                <w:rFonts w:cs="Times New Roman"/>
                <w:lang w:val="en-GB"/>
              </w:rPr>
              <w:t xml:space="preserve">identification No.2018/13, Part __ (addendum to the contract). </w:t>
            </w:r>
          </w:p>
          <w:p w:rsidR="00657C74" w:rsidRPr="00021874" w:rsidRDefault="00657C74" w:rsidP="00657C74">
            <w:pPr>
              <w:pStyle w:val="TableContents"/>
              <w:spacing w:line="256" w:lineRule="auto"/>
              <w:ind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b/>
                <w:bCs/>
                <w:lang w:val="en-GB"/>
              </w:rPr>
              <w:t xml:space="preserve">2. </w:t>
            </w:r>
            <w:r w:rsidR="00AB4E9B" w:rsidRPr="00021874">
              <w:rPr>
                <w:rFonts w:cs="Times New Roman"/>
                <w:b/>
                <w:bCs/>
                <w:lang w:val="en-GB"/>
              </w:rPr>
              <w:t>Rights and obligations of the Seller</w:t>
            </w:r>
          </w:p>
          <w:p w:rsidR="0008468D" w:rsidRPr="00021874" w:rsidRDefault="00657C74" w:rsidP="0008468D">
            <w:pPr>
              <w:pStyle w:val="TableContents"/>
              <w:spacing w:line="256" w:lineRule="auto"/>
              <w:ind w:left="57" w:right="57"/>
              <w:jc w:val="both"/>
              <w:rPr>
                <w:rFonts w:cs="Times New Roman"/>
                <w:lang w:val="en-GB"/>
              </w:rPr>
            </w:pPr>
            <w:r w:rsidRPr="00021874">
              <w:rPr>
                <w:rFonts w:cs="Times New Roman"/>
                <w:lang w:val="en-GB"/>
              </w:rPr>
              <w:t xml:space="preserve">2.1. </w:t>
            </w:r>
            <w:r w:rsidR="0008468D" w:rsidRPr="00021874">
              <w:rPr>
                <w:rFonts w:cs="Times New Roman"/>
                <w:lang w:val="en-GB"/>
              </w:rPr>
              <w:t>The Seller shall deliver the Goods to the Customer in accordance with the (Annex to the Contract - Technical Specifications) specified in the Contract, fulfilling the Customer's requirements in full for the technical parameters and technical condition of the Goods.</w:t>
            </w:r>
          </w:p>
          <w:p w:rsidR="0008468D" w:rsidRPr="00021874" w:rsidRDefault="0008468D" w:rsidP="0008468D">
            <w:pPr>
              <w:pStyle w:val="TableContents"/>
              <w:spacing w:line="256" w:lineRule="auto"/>
              <w:ind w:left="57" w:right="57"/>
              <w:jc w:val="both"/>
              <w:rPr>
                <w:rFonts w:cs="Times New Roman"/>
                <w:lang w:val="en-GB"/>
              </w:rPr>
            </w:pPr>
            <w:r w:rsidRPr="00021874">
              <w:rPr>
                <w:rFonts w:cs="Times New Roman"/>
                <w:lang w:val="en-GB"/>
              </w:rPr>
              <w:t xml:space="preserve">2.2. Delivery time of the Goods - no more than </w:t>
            </w:r>
            <w:r w:rsidR="00F16C08" w:rsidRPr="00021874">
              <w:rPr>
                <w:rFonts w:cs="Times New Roman"/>
                <w:lang w:val="en-GB"/>
              </w:rPr>
              <w:t xml:space="preserve">within </w:t>
            </w:r>
            <w:r w:rsidRPr="00021874">
              <w:rPr>
                <w:rFonts w:cs="Times New Roman"/>
                <w:lang w:val="en-GB"/>
              </w:rPr>
              <w:t>2 (two) weeks from the date of the Contract.</w:t>
            </w:r>
          </w:p>
          <w:p w:rsidR="0008468D" w:rsidRPr="00021874" w:rsidRDefault="0008468D" w:rsidP="0008468D">
            <w:pPr>
              <w:pStyle w:val="TableContents"/>
              <w:spacing w:line="256" w:lineRule="auto"/>
              <w:ind w:left="57" w:right="57"/>
              <w:jc w:val="both"/>
              <w:rPr>
                <w:rFonts w:cs="Times New Roman"/>
                <w:lang w:val="en-GB"/>
              </w:rPr>
            </w:pPr>
            <w:r w:rsidRPr="00021874">
              <w:rPr>
                <w:rFonts w:cs="Times New Roman"/>
                <w:lang w:val="en-GB"/>
              </w:rPr>
              <w:t xml:space="preserve">2.3. Place of delivery/acceptance of </w:t>
            </w:r>
            <w:r w:rsidR="00F16C08" w:rsidRPr="00021874">
              <w:rPr>
                <w:rFonts w:cs="Times New Roman"/>
                <w:lang w:val="en-GB"/>
              </w:rPr>
              <w:t>the G</w:t>
            </w:r>
            <w:r w:rsidRPr="00021874">
              <w:rPr>
                <w:rFonts w:cs="Times New Roman"/>
                <w:lang w:val="en-GB"/>
              </w:rPr>
              <w:t xml:space="preserve">oods </w:t>
            </w:r>
            <w:r w:rsidR="00F16C08" w:rsidRPr="00021874">
              <w:rPr>
                <w:rFonts w:cs="Times New Roman"/>
                <w:lang w:val="en-GB"/>
              </w:rPr>
              <w:t>–</w:t>
            </w:r>
            <w:r w:rsidRPr="00021874">
              <w:rPr>
                <w:rFonts w:cs="Times New Roman"/>
                <w:lang w:val="en-GB"/>
              </w:rPr>
              <w:t xml:space="preserve"> </w:t>
            </w:r>
            <w:r w:rsidR="00F16C08" w:rsidRPr="00021874">
              <w:rPr>
                <w:rFonts w:cs="Times New Roman"/>
                <w:lang w:val="en-GB"/>
              </w:rPr>
              <w:t xml:space="preserve">3 </w:t>
            </w:r>
            <w:r w:rsidRPr="00021874">
              <w:rPr>
                <w:rFonts w:cs="Times New Roman"/>
                <w:lang w:val="en-GB"/>
              </w:rPr>
              <w:t xml:space="preserve">Aspazijas </w:t>
            </w:r>
            <w:r w:rsidR="00F16C08" w:rsidRPr="00021874">
              <w:rPr>
                <w:rFonts w:cs="Times New Roman"/>
                <w:lang w:val="en-GB"/>
              </w:rPr>
              <w:t>Boulevard</w:t>
            </w:r>
            <w:r w:rsidRPr="00021874">
              <w:rPr>
                <w:rFonts w:cs="Times New Roman"/>
                <w:lang w:val="en-GB"/>
              </w:rPr>
              <w:t>, Riga, LV-1050, Latvia.</w:t>
            </w:r>
          </w:p>
          <w:p w:rsidR="0008468D" w:rsidRPr="00021874" w:rsidRDefault="0008468D" w:rsidP="0008468D">
            <w:pPr>
              <w:pStyle w:val="TableContents"/>
              <w:spacing w:line="256" w:lineRule="auto"/>
              <w:ind w:left="57" w:right="57"/>
              <w:jc w:val="both"/>
              <w:rPr>
                <w:rFonts w:cs="Times New Roman"/>
                <w:lang w:val="en-GB"/>
              </w:rPr>
            </w:pPr>
            <w:r w:rsidRPr="00021874">
              <w:rPr>
                <w:rFonts w:cs="Times New Roman"/>
                <w:lang w:val="en-GB"/>
              </w:rPr>
              <w:lastRenderedPageBreak/>
              <w:t xml:space="preserve">2.4. Goods acceptance procedure: </w:t>
            </w:r>
            <w:r w:rsidR="005A583F">
              <w:rPr>
                <w:rFonts w:cs="Times New Roman"/>
                <w:lang w:val="en-GB"/>
              </w:rPr>
              <w:t>T</w:t>
            </w:r>
            <w:r w:rsidRPr="00021874">
              <w:rPr>
                <w:rFonts w:cs="Times New Roman"/>
                <w:lang w:val="en-GB"/>
              </w:rPr>
              <w:t xml:space="preserve">he </w:t>
            </w:r>
            <w:r w:rsidR="00F16C08" w:rsidRPr="00021874">
              <w:rPr>
                <w:rFonts w:cs="Times New Roman"/>
                <w:lang w:val="en-GB"/>
              </w:rPr>
              <w:t>P</w:t>
            </w:r>
            <w:r w:rsidRPr="00021874">
              <w:rPr>
                <w:rFonts w:cs="Times New Roman"/>
                <w:lang w:val="en-GB"/>
              </w:rPr>
              <w:t xml:space="preserve">arties </w:t>
            </w:r>
            <w:r w:rsidR="00F16C08" w:rsidRPr="00021874">
              <w:rPr>
                <w:rFonts w:cs="Times New Roman"/>
                <w:lang w:val="en-GB"/>
              </w:rPr>
              <w:t xml:space="preserve">shall </w:t>
            </w:r>
            <w:r w:rsidRPr="00021874">
              <w:rPr>
                <w:rFonts w:cs="Times New Roman"/>
                <w:lang w:val="en-GB"/>
              </w:rPr>
              <w:t xml:space="preserve">prepare and sign the </w:t>
            </w:r>
            <w:r w:rsidR="00F16C08" w:rsidRPr="00021874">
              <w:rPr>
                <w:rFonts w:cs="Times New Roman"/>
                <w:lang w:val="en-GB"/>
              </w:rPr>
              <w:t>Acceptance Certificate</w:t>
            </w:r>
            <w:r w:rsidRPr="00021874">
              <w:rPr>
                <w:rFonts w:cs="Times New Roman"/>
                <w:lang w:val="en-GB"/>
              </w:rPr>
              <w:t>.</w:t>
            </w:r>
          </w:p>
          <w:p w:rsidR="00657C74" w:rsidRPr="00021874" w:rsidRDefault="0008468D" w:rsidP="00657C74">
            <w:pPr>
              <w:pStyle w:val="TableContents"/>
              <w:spacing w:line="256" w:lineRule="auto"/>
              <w:ind w:left="57" w:right="57"/>
              <w:jc w:val="both"/>
              <w:rPr>
                <w:rFonts w:cs="Times New Roman"/>
                <w:lang w:val="en-GB"/>
              </w:rPr>
            </w:pPr>
            <w:r w:rsidRPr="00021874">
              <w:rPr>
                <w:rFonts w:cs="Times New Roman"/>
                <w:lang w:val="en-GB"/>
              </w:rPr>
              <w:t xml:space="preserve">2.5. Delivered </w:t>
            </w:r>
            <w:r w:rsidR="00CA1109" w:rsidRPr="00021874">
              <w:rPr>
                <w:rFonts w:cs="Times New Roman"/>
                <w:lang w:val="en-GB"/>
              </w:rPr>
              <w:t>G</w:t>
            </w:r>
            <w:r w:rsidRPr="00021874">
              <w:rPr>
                <w:rFonts w:cs="Times New Roman"/>
                <w:lang w:val="en-GB"/>
              </w:rPr>
              <w:t xml:space="preserve">oods that do not meet the Customer's requirements </w:t>
            </w:r>
            <w:r w:rsidR="00CA1109" w:rsidRPr="00021874">
              <w:rPr>
                <w:rFonts w:cs="Times New Roman"/>
                <w:lang w:val="en-GB"/>
              </w:rPr>
              <w:t>shall be</w:t>
            </w:r>
            <w:r w:rsidRPr="00021874">
              <w:rPr>
                <w:rFonts w:cs="Times New Roman"/>
                <w:lang w:val="en-GB"/>
              </w:rPr>
              <w:t xml:space="preserve"> returned to the Seller. In this </w:t>
            </w:r>
            <w:r w:rsidR="00CA1109" w:rsidRPr="00021874">
              <w:rPr>
                <w:rFonts w:cs="Times New Roman"/>
                <w:lang w:val="en-GB"/>
              </w:rPr>
              <w:t>event</w:t>
            </w:r>
            <w:r w:rsidRPr="00021874">
              <w:rPr>
                <w:rFonts w:cs="Times New Roman"/>
                <w:lang w:val="en-GB"/>
              </w:rPr>
              <w:t xml:space="preserve">, the Customer </w:t>
            </w:r>
            <w:r w:rsidR="00CA1109" w:rsidRPr="00021874">
              <w:rPr>
                <w:rFonts w:cs="Times New Roman"/>
                <w:lang w:val="en-GB"/>
              </w:rPr>
              <w:t xml:space="preserve">shall </w:t>
            </w:r>
            <w:r w:rsidRPr="00021874">
              <w:rPr>
                <w:rFonts w:cs="Times New Roman"/>
                <w:lang w:val="en-GB"/>
              </w:rPr>
              <w:t xml:space="preserve">indicate the reasons for the non-acceptance of the </w:t>
            </w:r>
            <w:r w:rsidR="00CA1109" w:rsidRPr="00021874">
              <w:rPr>
                <w:rFonts w:cs="Times New Roman"/>
                <w:lang w:val="en-GB"/>
              </w:rPr>
              <w:t>G</w:t>
            </w:r>
            <w:r w:rsidRPr="00021874">
              <w:rPr>
                <w:rFonts w:cs="Times New Roman"/>
                <w:lang w:val="en-GB"/>
              </w:rPr>
              <w:t>oods</w:t>
            </w:r>
            <w:r w:rsidR="00CA1109" w:rsidRPr="00021874">
              <w:rPr>
                <w:rFonts w:cs="Times New Roman"/>
                <w:lang w:val="en-GB"/>
              </w:rPr>
              <w:t xml:space="preserve"> and</w:t>
            </w:r>
            <w:r w:rsidRPr="00021874">
              <w:rPr>
                <w:rFonts w:cs="Times New Roman"/>
                <w:lang w:val="en-GB"/>
              </w:rPr>
              <w:t xml:space="preserve"> </w:t>
            </w:r>
            <w:r w:rsidR="00CA1109" w:rsidRPr="00021874">
              <w:rPr>
                <w:rFonts w:cs="Times New Roman"/>
                <w:lang w:val="en-GB"/>
              </w:rPr>
              <w:t>file a</w:t>
            </w:r>
            <w:r w:rsidRPr="00021874">
              <w:rPr>
                <w:rFonts w:cs="Times New Roman"/>
                <w:lang w:val="en-GB"/>
              </w:rPr>
              <w:t xml:space="preserve"> claim to the Seller without delay. The </w:t>
            </w:r>
            <w:r w:rsidR="00CA1109" w:rsidRPr="00021874">
              <w:rPr>
                <w:rFonts w:cs="Times New Roman"/>
                <w:lang w:val="en-GB"/>
              </w:rPr>
              <w:t>S</w:t>
            </w:r>
            <w:r w:rsidRPr="00021874">
              <w:rPr>
                <w:rFonts w:cs="Times New Roman"/>
                <w:lang w:val="en-GB"/>
              </w:rPr>
              <w:t xml:space="preserve">eller is obliged to pay, if necessary, the cost of returning the </w:t>
            </w:r>
            <w:r w:rsidR="00CA1109" w:rsidRPr="00021874">
              <w:rPr>
                <w:rFonts w:cs="Times New Roman"/>
                <w:lang w:val="en-GB"/>
              </w:rPr>
              <w:t>Goods</w:t>
            </w:r>
            <w:r w:rsidRPr="00021874">
              <w:rPr>
                <w:rFonts w:cs="Times New Roman"/>
                <w:lang w:val="en-GB"/>
              </w:rPr>
              <w:t xml:space="preserve"> and to decide without delay on the delivery of the corresponding </w:t>
            </w:r>
            <w:r w:rsidR="00CA1109" w:rsidRPr="00021874">
              <w:rPr>
                <w:rFonts w:cs="Times New Roman"/>
                <w:lang w:val="en-GB"/>
              </w:rPr>
              <w:t>goods</w:t>
            </w:r>
            <w:r w:rsidRPr="00021874">
              <w:rPr>
                <w:rFonts w:cs="Times New Roman"/>
                <w:lang w:val="en-GB"/>
              </w:rPr>
              <w:t xml:space="preserve"> or performance of the Contract in accordance with the requirements of the Customer.</w:t>
            </w:r>
            <w:r w:rsidR="00657C74" w:rsidRPr="00021874">
              <w:rPr>
                <w:rFonts w:cs="Times New Roman"/>
                <w:lang w:val="en-GB"/>
              </w:rPr>
              <w:t xml:space="preserve"> </w:t>
            </w:r>
          </w:p>
          <w:p w:rsidR="00657C74" w:rsidRPr="00021874" w:rsidRDefault="00657C74" w:rsidP="00657C74">
            <w:pPr>
              <w:pStyle w:val="TableContents"/>
              <w:spacing w:line="256" w:lineRule="auto"/>
              <w:ind w:left="57"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b/>
                <w:bCs/>
                <w:lang w:val="en-GB"/>
              </w:rPr>
              <w:t xml:space="preserve">3. </w:t>
            </w:r>
            <w:r w:rsidR="00CA1109" w:rsidRPr="00021874">
              <w:rPr>
                <w:rFonts w:cs="Times New Roman"/>
                <w:b/>
                <w:bCs/>
                <w:lang w:val="en-GB"/>
              </w:rPr>
              <w:t>Rights and obligations of the Customer</w:t>
            </w:r>
          </w:p>
          <w:p w:rsidR="003F0C78" w:rsidRPr="00021874" w:rsidRDefault="00657C74" w:rsidP="003F0C78">
            <w:pPr>
              <w:pStyle w:val="TableContents"/>
              <w:spacing w:line="256" w:lineRule="auto"/>
              <w:ind w:left="57" w:right="57"/>
              <w:jc w:val="both"/>
              <w:rPr>
                <w:rFonts w:cs="Times New Roman"/>
                <w:lang w:val="en-GB"/>
              </w:rPr>
            </w:pPr>
            <w:r w:rsidRPr="00021874">
              <w:rPr>
                <w:rFonts w:cs="Times New Roman"/>
                <w:lang w:val="en-GB"/>
              </w:rPr>
              <w:t xml:space="preserve">3.1. </w:t>
            </w:r>
            <w:r w:rsidR="003F0C78" w:rsidRPr="00021874">
              <w:rPr>
                <w:rFonts w:cs="Times New Roman"/>
                <w:lang w:val="en-GB"/>
              </w:rPr>
              <w:t>The Customer undertakes to pay for the Goods in accordance with the provisions of Clause 4 hereof.</w:t>
            </w:r>
          </w:p>
          <w:p w:rsidR="00657C74" w:rsidRPr="00021874" w:rsidRDefault="003F0C78" w:rsidP="00657C74">
            <w:pPr>
              <w:pStyle w:val="TableContents"/>
              <w:spacing w:line="256" w:lineRule="auto"/>
              <w:ind w:left="57" w:right="57"/>
              <w:jc w:val="both"/>
              <w:rPr>
                <w:rFonts w:cs="Times New Roman"/>
                <w:lang w:val="en-GB"/>
              </w:rPr>
            </w:pPr>
            <w:r w:rsidRPr="00021874">
              <w:rPr>
                <w:rFonts w:cs="Times New Roman"/>
                <w:lang w:val="en-GB"/>
              </w:rPr>
              <w:t xml:space="preserve">3.2. The Customer determines its authorized representative - Head of the Orchestra Technical Department Marek Auziņš (phone +371 26399216, e-mail: mareks.auzins@opera.lv), who is authorized to deal with all matters related to the implementation of this Contract on behalf of the Customer, as well as in the event of non-observance of the Contract </w:t>
            </w:r>
            <w:r w:rsidR="002E3F9C" w:rsidRPr="00021874">
              <w:rPr>
                <w:rFonts w:cs="Times New Roman"/>
                <w:lang w:val="en-GB"/>
              </w:rPr>
              <w:t>and laws</w:t>
            </w:r>
            <w:r w:rsidRPr="00021874">
              <w:rPr>
                <w:rFonts w:cs="Times New Roman"/>
                <w:lang w:val="en-GB"/>
              </w:rPr>
              <w:t xml:space="preserve"> not to accept the </w:t>
            </w:r>
            <w:r w:rsidR="002E3F9C" w:rsidRPr="00021874">
              <w:rPr>
                <w:rFonts w:cs="Times New Roman"/>
                <w:lang w:val="en-GB"/>
              </w:rPr>
              <w:t>G</w:t>
            </w:r>
            <w:r w:rsidRPr="00021874">
              <w:rPr>
                <w:rFonts w:cs="Times New Roman"/>
                <w:lang w:val="en-GB"/>
              </w:rPr>
              <w:t>oods until the deficiencies are remedied.</w:t>
            </w:r>
            <w:r w:rsidR="00657C74" w:rsidRPr="00021874">
              <w:rPr>
                <w:rFonts w:cs="Times New Roman"/>
                <w:lang w:val="en-GB"/>
              </w:rPr>
              <w:t xml:space="preserve"> </w:t>
            </w:r>
          </w:p>
          <w:p w:rsidR="00657C74" w:rsidRPr="00021874" w:rsidRDefault="00657C74" w:rsidP="00657C74">
            <w:pPr>
              <w:pStyle w:val="TableContents"/>
              <w:spacing w:line="256" w:lineRule="auto"/>
              <w:ind w:left="57"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b/>
                <w:bCs/>
                <w:lang w:val="en-GB"/>
              </w:rPr>
              <w:t xml:space="preserve">4. </w:t>
            </w:r>
            <w:r w:rsidR="002E3F9C" w:rsidRPr="00021874">
              <w:rPr>
                <w:rFonts w:cs="Times New Roman"/>
                <w:b/>
                <w:bCs/>
                <w:lang w:val="en-GB"/>
              </w:rPr>
              <w:t>Price of the goods and settlement procedure</w:t>
            </w:r>
          </w:p>
          <w:p w:rsidR="002E3F9C" w:rsidRPr="00021874" w:rsidRDefault="00657C74" w:rsidP="002E3F9C">
            <w:pPr>
              <w:pStyle w:val="TableContents"/>
              <w:spacing w:line="256" w:lineRule="auto"/>
              <w:ind w:left="57" w:right="57"/>
              <w:jc w:val="both"/>
              <w:rPr>
                <w:rFonts w:cs="Times New Roman"/>
                <w:lang w:val="en-GB"/>
              </w:rPr>
            </w:pPr>
            <w:r w:rsidRPr="00021874">
              <w:rPr>
                <w:rFonts w:cs="Times New Roman"/>
                <w:lang w:val="en-GB"/>
              </w:rPr>
              <w:t xml:space="preserve">4.1. </w:t>
            </w:r>
            <w:r w:rsidR="002E3F9C" w:rsidRPr="00021874">
              <w:rPr>
                <w:rFonts w:cs="Times New Roman"/>
                <w:lang w:val="en-GB"/>
              </w:rPr>
              <w:t>The Customer shall pay to the Seller the price for the Goods ________, excluding VAT (hereinafter referred to as the Contract Amount). Payment for the Goods shall be made within five working days from the date of delivery/acceptance of the Goods.</w:t>
            </w:r>
          </w:p>
          <w:p w:rsidR="002E3F9C" w:rsidRPr="00021874" w:rsidRDefault="002E3F9C" w:rsidP="002E3F9C">
            <w:pPr>
              <w:pStyle w:val="TableContents"/>
              <w:spacing w:line="256" w:lineRule="auto"/>
              <w:ind w:left="57" w:right="57"/>
              <w:jc w:val="both"/>
              <w:rPr>
                <w:rFonts w:cs="Times New Roman"/>
                <w:lang w:val="en-GB"/>
              </w:rPr>
            </w:pPr>
            <w:r w:rsidRPr="00021874">
              <w:rPr>
                <w:rFonts w:cs="Times New Roman"/>
                <w:lang w:val="en-GB"/>
              </w:rPr>
              <w:t xml:space="preserve">4.3. The Seller shall submit to the Customer the invoice for the Goods electronically to the Customer's e-mail: </w:t>
            </w:r>
            <w:r w:rsidRPr="00021874">
              <w:rPr>
                <w:rFonts w:cs="Times New Roman"/>
                <w:u w:val="single"/>
                <w:lang w:val="en-GB"/>
              </w:rPr>
              <w:t>rekini@opera.lv</w:t>
            </w:r>
            <w:r w:rsidRPr="00021874">
              <w:rPr>
                <w:rFonts w:cs="Times New Roman"/>
                <w:lang w:val="en-GB"/>
              </w:rPr>
              <w:t>.</w:t>
            </w:r>
          </w:p>
          <w:p w:rsidR="00657C74" w:rsidRPr="00021874" w:rsidRDefault="002E3F9C" w:rsidP="002E3F9C">
            <w:pPr>
              <w:pStyle w:val="TableContents"/>
              <w:spacing w:line="256" w:lineRule="auto"/>
              <w:ind w:left="57" w:right="57"/>
              <w:jc w:val="both"/>
              <w:rPr>
                <w:color w:val="000000" w:themeColor="text1"/>
                <w:lang w:val="en-GB"/>
              </w:rPr>
            </w:pPr>
            <w:r w:rsidRPr="00021874">
              <w:rPr>
                <w:rFonts w:cs="Times New Roman"/>
                <w:lang w:val="en-GB"/>
              </w:rPr>
              <w:t>4.4. Subject to the price of the Goods, the Customer shall pay value added tax in accordance with the regulatory enactments of the Republic of Latvia</w:t>
            </w:r>
            <w:r w:rsidR="00657C74" w:rsidRPr="00021874">
              <w:rPr>
                <w:color w:val="000000" w:themeColor="text1"/>
                <w:lang w:val="en-GB"/>
              </w:rPr>
              <w:t>.</w:t>
            </w:r>
          </w:p>
          <w:p w:rsidR="00657C74" w:rsidRPr="00021874" w:rsidRDefault="00657C74" w:rsidP="00657C74">
            <w:pPr>
              <w:jc w:val="both"/>
              <w:rPr>
                <w:color w:val="000000" w:themeColor="text1"/>
              </w:rPr>
            </w:pPr>
          </w:p>
          <w:p w:rsidR="00657C74" w:rsidRPr="00021874" w:rsidRDefault="00657C74" w:rsidP="00657C74">
            <w:pPr>
              <w:pStyle w:val="TableContents"/>
              <w:spacing w:line="256" w:lineRule="auto"/>
              <w:ind w:left="57" w:right="57"/>
              <w:jc w:val="both"/>
              <w:rPr>
                <w:rFonts w:cs="Times New Roman"/>
                <w:b/>
                <w:bCs/>
                <w:lang w:val="en-GB"/>
              </w:rPr>
            </w:pPr>
            <w:r w:rsidRPr="00021874">
              <w:rPr>
                <w:rFonts w:cs="Times New Roman"/>
                <w:b/>
                <w:bCs/>
                <w:lang w:val="en-GB"/>
              </w:rPr>
              <w:lastRenderedPageBreak/>
              <w:t xml:space="preserve">5. </w:t>
            </w:r>
            <w:r w:rsidR="002E3F9C" w:rsidRPr="00021874">
              <w:rPr>
                <w:rFonts w:cs="Times New Roman"/>
                <w:b/>
                <w:bCs/>
                <w:lang w:val="en-GB"/>
              </w:rPr>
              <w:t>Duration of the contract</w:t>
            </w:r>
          </w:p>
          <w:p w:rsidR="00657C74" w:rsidRPr="00021874" w:rsidRDefault="002E3F9C" w:rsidP="00657C74">
            <w:pPr>
              <w:pStyle w:val="TableContents"/>
              <w:spacing w:line="256" w:lineRule="auto"/>
              <w:ind w:left="57" w:right="57"/>
              <w:jc w:val="both"/>
              <w:rPr>
                <w:rFonts w:cs="Times New Roman"/>
                <w:lang w:val="en-GB"/>
              </w:rPr>
            </w:pPr>
            <w:r w:rsidRPr="00021874">
              <w:rPr>
                <w:rFonts w:cs="Times New Roman"/>
                <w:lang w:val="en-GB"/>
              </w:rPr>
              <w:t>The Contract shall enter into force upon signature by the two Parties. The Contract is in force until the full performance of the obligations provided for therein.</w:t>
            </w:r>
          </w:p>
          <w:p w:rsidR="002E3F9C" w:rsidRPr="00021874" w:rsidRDefault="002E3F9C" w:rsidP="00657C74">
            <w:pPr>
              <w:pStyle w:val="TableContents"/>
              <w:spacing w:line="256" w:lineRule="auto"/>
              <w:ind w:left="57"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b/>
                <w:bCs/>
                <w:lang w:val="en-GB"/>
              </w:rPr>
              <w:t xml:space="preserve">6. </w:t>
            </w:r>
            <w:r w:rsidR="002E3F9C" w:rsidRPr="00021874">
              <w:rPr>
                <w:rFonts w:cs="Times New Roman"/>
                <w:b/>
                <w:bCs/>
                <w:lang w:val="en-GB"/>
              </w:rPr>
              <w:t>Liability, dispute resolution</w:t>
            </w:r>
          </w:p>
          <w:p w:rsidR="00D33740" w:rsidRPr="00021874" w:rsidRDefault="00657C74" w:rsidP="00D33740">
            <w:pPr>
              <w:pStyle w:val="TableContents"/>
              <w:spacing w:line="256" w:lineRule="auto"/>
              <w:ind w:left="57" w:right="57"/>
              <w:jc w:val="both"/>
              <w:rPr>
                <w:rFonts w:cs="Times New Roman"/>
                <w:lang w:val="en-GB"/>
              </w:rPr>
            </w:pPr>
            <w:r w:rsidRPr="00021874">
              <w:rPr>
                <w:rFonts w:cs="Times New Roman"/>
                <w:lang w:val="en-GB"/>
              </w:rPr>
              <w:t xml:space="preserve">6.1. </w:t>
            </w:r>
            <w:r w:rsidR="00D33740" w:rsidRPr="00021874">
              <w:rPr>
                <w:rFonts w:cs="Times New Roman"/>
                <w:lang w:val="en-GB"/>
              </w:rPr>
              <w:t>If either Party fails to fulfil its obligations under the Contract, it shall reimburse the other Party for the loss suffered as a result of default.</w:t>
            </w:r>
          </w:p>
          <w:p w:rsidR="00D33740" w:rsidRPr="00021874" w:rsidRDefault="00D33740" w:rsidP="00D33740">
            <w:pPr>
              <w:pStyle w:val="TableContents"/>
              <w:spacing w:line="256" w:lineRule="auto"/>
              <w:ind w:left="57" w:right="57"/>
              <w:jc w:val="both"/>
              <w:rPr>
                <w:rFonts w:cs="Times New Roman"/>
                <w:lang w:val="en-GB"/>
              </w:rPr>
            </w:pPr>
            <w:r w:rsidRPr="00021874">
              <w:rPr>
                <w:rFonts w:cs="Times New Roman"/>
                <w:lang w:val="en-GB"/>
              </w:rPr>
              <w:t>6.2. The Parties undertake to do their utmost to settle all disputes arising from this Contract through negotiation. If an agreement is not reached as a result of the negotiations, the dispute shall be considered in a Latvian court, applying the regulatory enactments of the Republic of Latvia.</w:t>
            </w:r>
          </w:p>
          <w:p w:rsidR="00D33740" w:rsidRPr="00021874" w:rsidRDefault="00D33740" w:rsidP="00D33740">
            <w:pPr>
              <w:pStyle w:val="TableContents"/>
              <w:spacing w:line="256" w:lineRule="auto"/>
              <w:ind w:left="57" w:right="57"/>
              <w:jc w:val="both"/>
              <w:rPr>
                <w:rFonts w:cs="Times New Roman"/>
                <w:lang w:val="en-GB"/>
              </w:rPr>
            </w:pPr>
            <w:r w:rsidRPr="00021874">
              <w:rPr>
                <w:rFonts w:cs="Times New Roman"/>
                <w:lang w:val="en-GB"/>
              </w:rPr>
              <w:t>6.3. In the event of non-compliance with the payment deadline, the Customer shall pay to the Seller a penalty of 0.1% (zero point one percent) of the amount of the delayed payment for each day of delay, subject to the limitations of calculation of the penalty determined by the Civil Law of the Republic of Latvia.</w:t>
            </w:r>
          </w:p>
          <w:p w:rsidR="00D33740" w:rsidRPr="00021874" w:rsidRDefault="00D33740" w:rsidP="00D33740">
            <w:pPr>
              <w:pStyle w:val="TableContents"/>
              <w:spacing w:line="256" w:lineRule="auto"/>
              <w:ind w:left="57" w:right="57"/>
              <w:jc w:val="both"/>
              <w:rPr>
                <w:rFonts w:cs="Times New Roman"/>
                <w:lang w:val="en-GB"/>
              </w:rPr>
            </w:pPr>
            <w:r w:rsidRPr="00021874">
              <w:rPr>
                <w:rFonts w:cs="Times New Roman"/>
                <w:lang w:val="en-GB"/>
              </w:rPr>
              <w:t>6.4. In the event of failure to observe the delivery time, the Seller shall pay to the Customer a penalty of 0.1% (zero point one percent) of the contract amount for each delayed delivery day, subject to the limitations of calculation of the penalty determined by the Civil Law of the Republic of Latvia.</w:t>
            </w:r>
          </w:p>
          <w:p w:rsidR="00657C74" w:rsidRPr="00021874" w:rsidRDefault="00D33740" w:rsidP="00D33740">
            <w:pPr>
              <w:pStyle w:val="TableContents"/>
              <w:spacing w:line="256" w:lineRule="auto"/>
              <w:ind w:left="57" w:right="57"/>
              <w:jc w:val="both"/>
              <w:rPr>
                <w:rFonts w:cs="Times New Roman"/>
                <w:lang w:val="en-GB"/>
              </w:rPr>
            </w:pPr>
            <w:r w:rsidRPr="00021874">
              <w:rPr>
                <w:rFonts w:cs="Times New Roman"/>
                <w:lang w:val="en-GB"/>
              </w:rPr>
              <w:t xml:space="preserve">6.5. A Party is entitled to terminate the </w:t>
            </w:r>
            <w:r w:rsidR="00CE213A" w:rsidRPr="00021874">
              <w:rPr>
                <w:rFonts w:cs="Times New Roman"/>
                <w:lang w:val="en-GB"/>
              </w:rPr>
              <w:t>Contract</w:t>
            </w:r>
            <w:r w:rsidRPr="00021874">
              <w:rPr>
                <w:rFonts w:cs="Times New Roman"/>
                <w:lang w:val="en-GB"/>
              </w:rPr>
              <w:t xml:space="preserve"> unilaterally if the other Party fails to comply with the </w:t>
            </w:r>
            <w:r w:rsidR="00CE213A" w:rsidRPr="00021874">
              <w:rPr>
                <w:rFonts w:cs="Times New Roman"/>
                <w:lang w:val="en-GB"/>
              </w:rPr>
              <w:t>Contract</w:t>
            </w:r>
            <w:r w:rsidRPr="00021874">
              <w:rPr>
                <w:rFonts w:cs="Times New Roman"/>
                <w:lang w:val="en-GB"/>
              </w:rPr>
              <w:t xml:space="preserve"> for more than 30 calendar days. For unilateral termination of the contract - to notify the other Party 10 calendar days in advance.</w:t>
            </w:r>
          </w:p>
          <w:p w:rsidR="00657C74" w:rsidRPr="00021874" w:rsidRDefault="00657C74" w:rsidP="00657C74">
            <w:pPr>
              <w:pStyle w:val="TableContents"/>
              <w:spacing w:line="256" w:lineRule="auto"/>
              <w:ind w:left="57" w:right="57"/>
              <w:jc w:val="both"/>
              <w:rPr>
                <w:rFonts w:cs="Times New Roman"/>
                <w:lang w:val="en-GB"/>
              </w:rPr>
            </w:pPr>
          </w:p>
          <w:p w:rsidR="00657C74" w:rsidRPr="00021874" w:rsidRDefault="00657C74" w:rsidP="00657C74">
            <w:pPr>
              <w:pStyle w:val="TableContents"/>
              <w:spacing w:line="256" w:lineRule="auto"/>
              <w:ind w:left="57" w:right="57"/>
              <w:jc w:val="both"/>
              <w:rPr>
                <w:rFonts w:cs="Times New Roman"/>
                <w:lang w:val="en-GB"/>
              </w:rPr>
            </w:pPr>
            <w:r w:rsidRPr="00021874">
              <w:rPr>
                <w:rFonts w:cs="Times New Roman"/>
                <w:b/>
                <w:bCs/>
                <w:lang w:val="en-GB"/>
              </w:rPr>
              <w:t xml:space="preserve">7. </w:t>
            </w:r>
            <w:r w:rsidR="00CE213A" w:rsidRPr="00021874">
              <w:rPr>
                <w:rFonts w:cs="Times New Roman"/>
                <w:b/>
                <w:bCs/>
                <w:lang w:val="en-GB"/>
              </w:rPr>
              <w:t>Other provisions</w:t>
            </w:r>
          </w:p>
          <w:p w:rsidR="00021874" w:rsidRPr="00021874" w:rsidRDefault="00657C74" w:rsidP="00021874">
            <w:pPr>
              <w:pStyle w:val="TableContents"/>
              <w:spacing w:line="256" w:lineRule="auto"/>
              <w:ind w:left="57" w:right="57"/>
              <w:jc w:val="both"/>
              <w:rPr>
                <w:rFonts w:cs="Times New Roman"/>
                <w:lang w:val="en-GB"/>
              </w:rPr>
            </w:pPr>
            <w:r w:rsidRPr="00021874">
              <w:rPr>
                <w:rFonts w:cs="Times New Roman"/>
                <w:lang w:val="en-GB"/>
              </w:rPr>
              <w:t xml:space="preserve">7.1. </w:t>
            </w:r>
            <w:r w:rsidR="00021874" w:rsidRPr="00021874">
              <w:rPr>
                <w:rFonts w:cs="Times New Roman"/>
                <w:lang w:val="en-GB"/>
              </w:rPr>
              <w:t>Amendments and additions to the Contract shall be made by agreement of the Parties. Such amendments and additions to the Contract shall be in writing in the form of the Annexes to the Contract.</w:t>
            </w:r>
          </w:p>
          <w:p w:rsidR="00021874" w:rsidRPr="00021874" w:rsidRDefault="00021874" w:rsidP="00021874">
            <w:pPr>
              <w:pStyle w:val="TableContents"/>
              <w:spacing w:line="256" w:lineRule="auto"/>
              <w:ind w:left="57" w:right="57"/>
              <w:jc w:val="both"/>
              <w:rPr>
                <w:rFonts w:cs="Times New Roman"/>
                <w:lang w:val="en-GB"/>
              </w:rPr>
            </w:pPr>
            <w:r w:rsidRPr="00021874">
              <w:rPr>
                <w:rFonts w:cs="Times New Roman"/>
                <w:lang w:val="en-GB"/>
              </w:rPr>
              <w:lastRenderedPageBreak/>
              <w:t>7.2. The Contract is prepared on 4 pages, in 2 copies having the same legal force.</w:t>
            </w:r>
          </w:p>
          <w:p w:rsidR="00E37E1C" w:rsidRPr="00021874" w:rsidRDefault="00021874" w:rsidP="00F5762A">
            <w:pPr>
              <w:pStyle w:val="Standard"/>
              <w:spacing w:line="256" w:lineRule="auto"/>
              <w:ind w:left="57" w:right="57"/>
              <w:jc w:val="both"/>
              <w:rPr>
                <w:b/>
                <w:bCs/>
              </w:rPr>
            </w:pPr>
            <w:r w:rsidRPr="00021874">
              <w:t xml:space="preserve">7.3. Addendum to the </w:t>
            </w:r>
            <w:r w:rsidR="00F5762A">
              <w:t>Contract</w:t>
            </w:r>
            <w:r w:rsidRPr="00021874">
              <w:t xml:space="preserve"> - Seller's bid on __ pages.</w:t>
            </w:r>
          </w:p>
        </w:tc>
      </w:tr>
      <w:tr w:rsidR="00E37E1C" w:rsidRPr="005C2C17" w:rsidTr="00021874">
        <w:tblPrEx>
          <w:tblLook w:val="0000" w:firstRow="0" w:lastRow="0" w:firstColumn="0" w:lastColumn="0" w:noHBand="0" w:noVBand="0"/>
        </w:tblPrEx>
        <w:trPr>
          <w:gridAfter w:val="1"/>
          <w:wAfter w:w="2268" w:type="dxa"/>
        </w:trPr>
        <w:tc>
          <w:tcPr>
            <w:tcW w:w="7372" w:type="dxa"/>
            <w:tcBorders>
              <w:top w:val="single" w:sz="4" w:space="0" w:color="auto"/>
            </w:tcBorders>
            <w:tcMar>
              <w:top w:w="0" w:type="dxa"/>
              <w:left w:w="0" w:type="dxa"/>
              <w:bottom w:w="0" w:type="dxa"/>
              <w:right w:w="0" w:type="dxa"/>
            </w:tcMar>
          </w:tcPr>
          <w:p w:rsidR="00E37E1C" w:rsidRPr="005C2C17" w:rsidRDefault="00E37E1C" w:rsidP="00730F30">
            <w:pPr>
              <w:pStyle w:val="Standard"/>
              <w:ind w:left="57" w:right="57"/>
              <w:jc w:val="right"/>
              <w:rPr>
                <w:b/>
                <w:bCs/>
                <w:lang w:val="lv-LV"/>
              </w:rPr>
            </w:pPr>
          </w:p>
          <w:p w:rsidR="00E37E1C" w:rsidRPr="005C2C17" w:rsidRDefault="00E37E1C" w:rsidP="00730F30">
            <w:pPr>
              <w:pStyle w:val="Standard"/>
              <w:ind w:left="57" w:right="57"/>
              <w:jc w:val="right"/>
              <w:rPr>
                <w:lang w:val="lv-LV"/>
              </w:rPr>
            </w:pPr>
            <w:r w:rsidRPr="005C2C17">
              <w:rPr>
                <w:b/>
                <w:bCs/>
                <w:lang w:val="lv-LV"/>
              </w:rPr>
              <w:t>Pušu rekvizīti un paraksti /</w:t>
            </w:r>
          </w:p>
          <w:p w:rsidR="00E37E1C" w:rsidRPr="005C2C17" w:rsidRDefault="00E37E1C" w:rsidP="00730F30">
            <w:pPr>
              <w:pStyle w:val="Standard"/>
              <w:rPr>
                <w:lang w:val="lv-LV"/>
              </w:rPr>
            </w:pPr>
          </w:p>
          <w:p w:rsidR="00E37E1C" w:rsidRPr="005C2C17" w:rsidRDefault="00764759" w:rsidP="00730F30">
            <w:pPr>
              <w:pStyle w:val="Standard"/>
              <w:rPr>
                <w:lang w:val="lv-LV"/>
              </w:rPr>
            </w:pPr>
            <w:r w:rsidRPr="005C2C17">
              <w:rPr>
                <w:b/>
                <w:bCs/>
                <w:lang w:val="lv-LV"/>
              </w:rPr>
              <w:t>Pasūtītājs/</w:t>
            </w:r>
            <w:r w:rsidR="00CC7CA7">
              <w:rPr>
                <w:b/>
                <w:bCs/>
                <w:lang w:val="lv-LV"/>
              </w:rPr>
              <w:t xml:space="preserve">The </w:t>
            </w:r>
            <w:r w:rsidR="00021874">
              <w:rPr>
                <w:b/>
                <w:bCs/>
                <w:lang w:val="lv-LV"/>
              </w:rPr>
              <w:t>Customer</w:t>
            </w:r>
          </w:p>
          <w:p w:rsidR="00E37E1C" w:rsidRPr="00F0374D" w:rsidRDefault="008F0D8A" w:rsidP="00730F30">
            <w:pPr>
              <w:pStyle w:val="Standard"/>
              <w:jc w:val="both"/>
              <w:rPr>
                <w:lang w:val="lv-LV"/>
              </w:rPr>
            </w:pPr>
            <w:r w:rsidRPr="00F0374D">
              <w:rPr>
                <w:b/>
                <w:lang w:val="lv-LV"/>
              </w:rPr>
              <w:t>VSIA</w:t>
            </w:r>
            <w:r w:rsidR="00021874">
              <w:rPr>
                <w:b/>
                <w:lang w:val="lv-LV"/>
              </w:rPr>
              <w:t>/SLLC</w:t>
            </w:r>
            <w:r w:rsidRPr="00F0374D">
              <w:rPr>
                <w:b/>
                <w:lang w:val="lv-LV"/>
              </w:rPr>
              <w:t xml:space="preserve"> Latvijas Nacionālā opera un balets</w:t>
            </w:r>
          </w:p>
          <w:p w:rsidR="00E37E1C" w:rsidRPr="00F0374D" w:rsidRDefault="008F0D8A" w:rsidP="00730F30">
            <w:pPr>
              <w:pStyle w:val="Standard"/>
              <w:jc w:val="both"/>
              <w:rPr>
                <w:lang w:val="lv-LV"/>
              </w:rPr>
            </w:pPr>
            <w:r w:rsidRPr="00F0374D">
              <w:rPr>
                <w:lang w:val="lv-LV"/>
              </w:rPr>
              <w:t>Reģ. Nr</w:t>
            </w:r>
            <w:r w:rsidR="00E37E1C" w:rsidRPr="00F0374D">
              <w:rPr>
                <w:lang w:val="lv-LV"/>
              </w:rPr>
              <w:t>.</w:t>
            </w:r>
            <w:r w:rsidR="00021874">
              <w:rPr>
                <w:lang w:val="lv-LV"/>
              </w:rPr>
              <w:t xml:space="preserve">/Reg.No. </w:t>
            </w:r>
            <w:r w:rsidR="00E37E1C" w:rsidRPr="00F0374D">
              <w:rPr>
                <w:lang w:val="lv-LV"/>
              </w:rPr>
              <w:t>40103208907</w:t>
            </w:r>
            <w:r w:rsidR="00E37E1C" w:rsidRPr="00F0374D">
              <w:rPr>
                <w:lang w:val="lv-LV"/>
              </w:rPr>
              <w:tab/>
            </w:r>
          </w:p>
          <w:p w:rsidR="00E37E1C" w:rsidRDefault="008F0D8A" w:rsidP="00730F30">
            <w:pPr>
              <w:pStyle w:val="Standard"/>
              <w:ind w:right="-546"/>
              <w:jc w:val="both"/>
            </w:pPr>
            <w:r w:rsidRPr="00F0374D">
              <w:rPr>
                <w:lang w:val="lv-LV"/>
              </w:rPr>
              <w:t>Ad</w:t>
            </w:r>
            <w:r>
              <w:t>rese</w:t>
            </w:r>
            <w:r w:rsidR="00021874">
              <w:t>/Address</w:t>
            </w:r>
            <w:r>
              <w:t>: Aspazijas bulvāris 3, Rīgā</w:t>
            </w:r>
            <w:r w:rsidR="00E37E1C" w:rsidRPr="005C2C17">
              <w:t>, LV-1</w:t>
            </w:r>
            <w:r w:rsidR="00021874">
              <w:t>050/</w:t>
            </w:r>
          </w:p>
          <w:p w:rsidR="00021874" w:rsidRPr="005C2C17" w:rsidRDefault="00021874" w:rsidP="00730F30">
            <w:pPr>
              <w:pStyle w:val="Standard"/>
              <w:ind w:right="-546"/>
              <w:jc w:val="both"/>
            </w:pPr>
            <w:r>
              <w:t>3 Aspazijas Boulevard, Riga</w:t>
            </w:r>
            <w:r w:rsidRPr="005C2C17">
              <w:t>, LV-1</w:t>
            </w:r>
            <w:r>
              <w:t>050</w:t>
            </w:r>
          </w:p>
          <w:p w:rsidR="00E37E1C" w:rsidRPr="005C2C17" w:rsidRDefault="008F0D8A" w:rsidP="00730F30">
            <w:pPr>
              <w:pStyle w:val="Standard"/>
              <w:jc w:val="both"/>
            </w:pPr>
            <w:r>
              <w:t>Bankas kods</w:t>
            </w:r>
            <w:r w:rsidR="00021874">
              <w:t>/SWIFT</w:t>
            </w:r>
            <w:r>
              <w:t>:</w:t>
            </w:r>
            <w:r w:rsidR="00E37E1C" w:rsidRPr="005C2C17">
              <w:t xml:space="preserve"> TRELLV22XXX</w:t>
            </w:r>
          </w:p>
          <w:p w:rsidR="00E37E1C" w:rsidRPr="005C2C17" w:rsidRDefault="008F0D8A" w:rsidP="00730F30">
            <w:pPr>
              <w:pStyle w:val="Standard"/>
              <w:jc w:val="both"/>
            </w:pPr>
            <w:r>
              <w:t>Konts</w:t>
            </w:r>
            <w:r w:rsidR="00021874">
              <w:t>/</w:t>
            </w:r>
            <w:r w:rsidR="00E37E1C" w:rsidRPr="005C2C17">
              <w:t>IBAN: LV19TREL9220500000000</w:t>
            </w:r>
            <w:r w:rsidR="00E37E1C" w:rsidRPr="005C2C17">
              <w:tab/>
            </w:r>
            <w:r w:rsidR="00E37E1C" w:rsidRPr="005C2C17">
              <w:tab/>
            </w:r>
          </w:p>
          <w:p w:rsidR="00E37E1C" w:rsidRPr="005C2C17" w:rsidRDefault="00E37E1C" w:rsidP="00730F30">
            <w:pPr>
              <w:pStyle w:val="Standard"/>
            </w:pPr>
            <w:r w:rsidRPr="005C2C17">
              <w:t>_________________________</w:t>
            </w:r>
            <w:r w:rsidRPr="005C2C17">
              <w:tab/>
            </w:r>
            <w:r w:rsidRPr="005C2C17">
              <w:tab/>
            </w:r>
          </w:p>
          <w:p w:rsidR="00E37E1C" w:rsidRPr="005C2C17" w:rsidRDefault="00E37E1C" w:rsidP="00730F30">
            <w:pPr>
              <w:pStyle w:val="Standard"/>
              <w:tabs>
                <w:tab w:val="left" w:pos="720"/>
                <w:tab w:val="left" w:pos="1440"/>
                <w:tab w:val="center" w:pos="2076"/>
              </w:tabs>
            </w:pPr>
            <w:r w:rsidRPr="005C2C17">
              <w:t xml:space="preserve">Zigmars Liepiņš, </w:t>
            </w:r>
            <w:r w:rsidRPr="005C2C17">
              <w:tab/>
            </w:r>
            <w:r w:rsidR="008F0D8A">
              <w:t>Valdes priekšsēdētājs</w:t>
            </w:r>
            <w:r w:rsidR="00021874">
              <w:t>/Chairman of the Board</w:t>
            </w:r>
          </w:p>
          <w:p w:rsidR="00E37E1C" w:rsidRPr="005C2C17" w:rsidRDefault="00E37E1C" w:rsidP="00730F30">
            <w:pPr>
              <w:pStyle w:val="Standard"/>
            </w:pPr>
          </w:p>
        </w:tc>
        <w:tc>
          <w:tcPr>
            <w:tcW w:w="5528" w:type="dxa"/>
            <w:gridSpan w:val="2"/>
            <w:tcBorders>
              <w:top w:val="single" w:sz="4" w:space="0" w:color="auto"/>
            </w:tcBorders>
            <w:tcMar>
              <w:top w:w="0" w:type="dxa"/>
              <w:left w:w="0" w:type="dxa"/>
              <w:bottom w:w="0" w:type="dxa"/>
              <w:right w:w="0" w:type="dxa"/>
            </w:tcMar>
          </w:tcPr>
          <w:p w:rsidR="00E37E1C" w:rsidRPr="005C2C17" w:rsidRDefault="00E37E1C" w:rsidP="00730F30">
            <w:pPr>
              <w:pStyle w:val="Standard"/>
              <w:ind w:left="57" w:right="57"/>
              <w:jc w:val="both"/>
              <w:rPr>
                <w:b/>
                <w:bCs/>
              </w:rPr>
            </w:pPr>
          </w:p>
          <w:p w:rsidR="00E37E1C" w:rsidRPr="005C2C17" w:rsidRDefault="00021874" w:rsidP="00730F30">
            <w:pPr>
              <w:pStyle w:val="Standard"/>
              <w:ind w:left="57" w:right="57"/>
              <w:jc w:val="both"/>
              <w:rPr>
                <w:b/>
                <w:bCs/>
              </w:rPr>
            </w:pPr>
            <w:r>
              <w:rPr>
                <w:b/>
                <w:bCs/>
              </w:rPr>
              <w:t>Details and signatures of the parties</w:t>
            </w:r>
            <w:r w:rsidR="00E37E1C" w:rsidRPr="005C2C17">
              <w:rPr>
                <w:b/>
                <w:bCs/>
              </w:rPr>
              <w:t>:</w:t>
            </w:r>
          </w:p>
          <w:p w:rsidR="00E37E1C" w:rsidRPr="005C2C17" w:rsidRDefault="00E37E1C" w:rsidP="00730F30">
            <w:pPr>
              <w:pStyle w:val="Standard"/>
              <w:ind w:left="57" w:right="57"/>
            </w:pPr>
          </w:p>
          <w:p w:rsidR="00E37E1C" w:rsidRPr="005C2C17" w:rsidRDefault="00E37E1C" w:rsidP="00730F30">
            <w:pPr>
              <w:pStyle w:val="Standard"/>
              <w:ind w:left="57" w:right="57"/>
            </w:pPr>
            <w:r w:rsidRPr="005C2C17">
              <w:rPr>
                <w:b/>
                <w:bCs/>
                <w:lang w:val="lv-LV"/>
              </w:rPr>
              <w:t>Pārdevējs</w:t>
            </w:r>
            <w:r w:rsidR="00764759" w:rsidRPr="005C2C17">
              <w:rPr>
                <w:b/>
                <w:bCs/>
                <w:lang w:val="lv-LV"/>
              </w:rPr>
              <w:t>/</w:t>
            </w:r>
            <w:r w:rsidR="00CC7CA7">
              <w:rPr>
                <w:b/>
                <w:bCs/>
                <w:lang w:val="lv-LV"/>
              </w:rPr>
              <w:t xml:space="preserve">The </w:t>
            </w:r>
            <w:r w:rsidR="00021874">
              <w:rPr>
                <w:b/>
                <w:bCs/>
                <w:lang w:val="lv-LV"/>
              </w:rPr>
              <w:t>Seller</w:t>
            </w:r>
          </w:p>
          <w:p w:rsidR="00E37E1C" w:rsidRPr="005C2C17" w:rsidRDefault="00E37E1C" w:rsidP="00730F30">
            <w:pPr>
              <w:pStyle w:val="Standard"/>
            </w:pPr>
          </w:p>
          <w:p w:rsidR="00E37E1C" w:rsidRPr="005C2C17" w:rsidRDefault="00E37E1C" w:rsidP="00730F30">
            <w:pPr>
              <w:pStyle w:val="Standard"/>
              <w:ind w:right="57"/>
            </w:pPr>
          </w:p>
        </w:tc>
      </w:tr>
      <w:tr w:rsidR="00E37E1C" w:rsidRPr="005C2C17" w:rsidTr="00021874">
        <w:tblPrEx>
          <w:tblLook w:val="0000" w:firstRow="0" w:lastRow="0" w:firstColumn="0" w:lastColumn="0" w:noHBand="0" w:noVBand="0"/>
        </w:tblPrEx>
        <w:trPr>
          <w:gridAfter w:val="1"/>
          <w:wAfter w:w="2268" w:type="dxa"/>
        </w:trPr>
        <w:tc>
          <w:tcPr>
            <w:tcW w:w="7372" w:type="dxa"/>
            <w:tcMar>
              <w:top w:w="0" w:type="dxa"/>
              <w:left w:w="0" w:type="dxa"/>
              <w:bottom w:w="0" w:type="dxa"/>
              <w:right w:w="0" w:type="dxa"/>
            </w:tcMar>
          </w:tcPr>
          <w:p w:rsidR="00E37E1C" w:rsidRPr="005C2C17" w:rsidRDefault="00E37E1C" w:rsidP="00730F30">
            <w:pPr>
              <w:pStyle w:val="Standard"/>
              <w:ind w:left="57" w:right="57"/>
              <w:jc w:val="both"/>
              <w:rPr>
                <w:b/>
                <w:bCs/>
                <w:lang w:val="lv-LV"/>
              </w:rPr>
            </w:pPr>
          </w:p>
        </w:tc>
        <w:tc>
          <w:tcPr>
            <w:tcW w:w="5528" w:type="dxa"/>
            <w:gridSpan w:val="2"/>
            <w:tcMar>
              <w:top w:w="0" w:type="dxa"/>
              <w:left w:w="0" w:type="dxa"/>
              <w:bottom w:w="0" w:type="dxa"/>
              <w:right w:w="0" w:type="dxa"/>
            </w:tcMar>
          </w:tcPr>
          <w:p w:rsidR="00E37E1C" w:rsidRPr="005C2C17" w:rsidRDefault="00E37E1C" w:rsidP="00730F30">
            <w:pPr>
              <w:pStyle w:val="Standard"/>
              <w:ind w:left="57" w:right="57"/>
              <w:jc w:val="both"/>
              <w:rPr>
                <w:b/>
                <w:bCs/>
              </w:rPr>
            </w:pPr>
          </w:p>
        </w:tc>
      </w:tr>
    </w:tbl>
    <w:p w:rsidR="00E37E1C" w:rsidRPr="005C2C17" w:rsidRDefault="00E37E1C" w:rsidP="00E37E1C">
      <w:pPr>
        <w:pStyle w:val="Standard"/>
        <w:rPr>
          <w:b/>
          <w:bCs/>
          <w:lang w:val="lv-LV"/>
        </w:rPr>
      </w:pPr>
    </w:p>
    <w:p w:rsidR="00E37E1C" w:rsidRPr="005C2C17" w:rsidRDefault="00E37E1C" w:rsidP="00E37E1C"/>
    <w:p w:rsidR="00A84619" w:rsidRPr="005C2C17" w:rsidRDefault="00A84619" w:rsidP="0028720F">
      <w:pPr>
        <w:jc w:val="right"/>
        <w:rPr>
          <w:b/>
          <w:lang w:val="lv-LV"/>
        </w:rPr>
      </w:pPr>
    </w:p>
    <w:p w:rsidR="00F556CF" w:rsidRPr="005C2C17" w:rsidRDefault="00F556CF" w:rsidP="00F556CF">
      <w:pPr>
        <w:jc w:val="center"/>
        <w:rPr>
          <w:b/>
          <w:lang w:val="lv-LV"/>
        </w:rPr>
      </w:pPr>
    </w:p>
    <w:p w:rsidR="00F556CF" w:rsidRPr="005C2C17" w:rsidRDefault="00F556CF" w:rsidP="00F556CF">
      <w:pPr>
        <w:jc w:val="center"/>
        <w:rPr>
          <w:b/>
          <w:lang w:val="lv-LV"/>
        </w:rPr>
      </w:pPr>
    </w:p>
    <w:p w:rsidR="00A84619" w:rsidRPr="005C2C17" w:rsidRDefault="00A84619">
      <w:pPr>
        <w:rPr>
          <w:lang w:val="lv-LV"/>
        </w:rPr>
      </w:pPr>
    </w:p>
    <w:p w:rsidR="000558B2" w:rsidRPr="005C2C17" w:rsidRDefault="000558B2">
      <w:pPr>
        <w:rPr>
          <w:lang w:val="lv-LV"/>
        </w:rPr>
      </w:pPr>
    </w:p>
    <w:p w:rsidR="00084AED" w:rsidRPr="005C2C17" w:rsidRDefault="00084AED">
      <w:pPr>
        <w:rPr>
          <w:lang w:val="lv-LV"/>
        </w:rPr>
      </w:pPr>
    </w:p>
    <w:sectPr w:rsidR="00084AED" w:rsidRPr="005C2C17" w:rsidSect="00D72C6B">
      <w:headerReference w:type="default" r:id="rId12"/>
      <w:footerReference w:type="default" r:id="rId13"/>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B2B" w:rsidRDefault="00041B2B" w:rsidP="00941EC5">
      <w:r>
        <w:separator/>
      </w:r>
    </w:p>
  </w:endnote>
  <w:endnote w:type="continuationSeparator" w:id="0">
    <w:p w:rsidR="00041B2B" w:rsidRDefault="00041B2B" w:rsidP="009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98"/>
      <w:docPartObj>
        <w:docPartGallery w:val="Page Numbers (Bottom of Page)"/>
        <w:docPartUnique/>
      </w:docPartObj>
    </w:sdtPr>
    <w:sdtEndPr/>
    <w:sdtContent>
      <w:p w:rsidR="008F64D4" w:rsidRDefault="008F64D4">
        <w:pPr>
          <w:pStyle w:val="Footer"/>
          <w:jc w:val="center"/>
        </w:pPr>
        <w:r>
          <w:fldChar w:fldCharType="begin"/>
        </w:r>
        <w:r>
          <w:instrText xml:space="preserve"> PAGE   \* MERGEFORMAT </w:instrText>
        </w:r>
        <w:r>
          <w:fldChar w:fldCharType="separate"/>
        </w:r>
        <w:r w:rsidR="002615DC">
          <w:rPr>
            <w:noProof/>
          </w:rPr>
          <w:t>2</w:t>
        </w:r>
        <w:r>
          <w:rPr>
            <w:noProof/>
          </w:rPr>
          <w:fldChar w:fldCharType="end"/>
        </w:r>
      </w:p>
    </w:sdtContent>
  </w:sdt>
  <w:p w:rsidR="008F64D4" w:rsidRDefault="008F64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B2B" w:rsidRDefault="00041B2B" w:rsidP="00941EC5">
      <w:r>
        <w:separator/>
      </w:r>
    </w:p>
  </w:footnote>
  <w:footnote w:type="continuationSeparator" w:id="0">
    <w:p w:rsidR="00041B2B" w:rsidRDefault="00041B2B" w:rsidP="0094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4D4" w:rsidRDefault="008F64D4">
    <w:pPr>
      <w:pStyle w:val="Header"/>
      <w:jc w:val="center"/>
    </w:pPr>
  </w:p>
  <w:p w:rsidR="008F64D4" w:rsidRDefault="008F64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4AE"/>
    <w:multiLevelType w:val="hybridMultilevel"/>
    <w:tmpl w:val="C80AD6F0"/>
    <w:lvl w:ilvl="0" w:tplc="609A6EF2">
      <w:start w:val="2"/>
      <w:numFmt w:val="decimal"/>
      <w:lvlText w:val="%1)"/>
      <w:lvlJc w:val="left"/>
      <w:pPr>
        <w:tabs>
          <w:tab w:val="num" w:pos="1740"/>
        </w:tabs>
        <w:ind w:left="1740" w:hanging="360"/>
      </w:pPr>
      <w:rPr>
        <w:rFonts w:hint="default"/>
      </w:rPr>
    </w:lvl>
    <w:lvl w:ilvl="1" w:tplc="04260019" w:tentative="1">
      <w:start w:val="1"/>
      <w:numFmt w:val="lowerLetter"/>
      <w:lvlText w:val="%2."/>
      <w:lvlJc w:val="left"/>
      <w:pPr>
        <w:tabs>
          <w:tab w:val="num" w:pos="2460"/>
        </w:tabs>
        <w:ind w:left="2460" w:hanging="360"/>
      </w:pPr>
    </w:lvl>
    <w:lvl w:ilvl="2" w:tplc="0426001B" w:tentative="1">
      <w:start w:val="1"/>
      <w:numFmt w:val="lowerRoman"/>
      <w:lvlText w:val="%3."/>
      <w:lvlJc w:val="right"/>
      <w:pPr>
        <w:tabs>
          <w:tab w:val="num" w:pos="3180"/>
        </w:tabs>
        <w:ind w:left="3180" w:hanging="180"/>
      </w:pPr>
    </w:lvl>
    <w:lvl w:ilvl="3" w:tplc="0426000F" w:tentative="1">
      <w:start w:val="1"/>
      <w:numFmt w:val="decimal"/>
      <w:lvlText w:val="%4."/>
      <w:lvlJc w:val="left"/>
      <w:pPr>
        <w:tabs>
          <w:tab w:val="num" w:pos="3900"/>
        </w:tabs>
        <w:ind w:left="3900" w:hanging="360"/>
      </w:pPr>
    </w:lvl>
    <w:lvl w:ilvl="4" w:tplc="04260019" w:tentative="1">
      <w:start w:val="1"/>
      <w:numFmt w:val="lowerLetter"/>
      <w:lvlText w:val="%5."/>
      <w:lvlJc w:val="left"/>
      <w:pPr>
        <w:tabs>
          <w:tab w:val="num" w:pos="4620"/>
        </w:tabs>
        <w:ind w:left="4620" w:hanging="360"/>
      </w:pPr>
    </w:lvl>
    <w:lvl w:ilvl="5" w:tplc="0426001B" w:tentative="1">
      <w:start w:val="1"/>
      <w:numFmt w:val="lowerRoman"/>
      <w:lvlText w:val="%6."/>
      <w:lvlJc w:val="right"/>
      <w:pPr>
        <w:tabs>
          <w:tab w:val="num" w:pos="5340"/>
        </w:tabs>
        <w:ind w:left="5340" w:hanging="180"/>
      </w:pPr>
    </w:lvl>
    <w:lvl w:ilvl="6" w:tplc="0426000F" w:tentative="1">
      <w:start w:val="1"/>
      <w:numFmt w:val="decimal"/>
      <w:lvlText w:val="%7."/>
      <w:lvlJc w:val="left"/>
      <w:pPr>
        <w:tabs>
          <w:tab w:val="num" w:pos="6060"/>
        </w:tabs>
        <w:ind w:left="6060" w:hanging="360"/>
      </w:pPr>
    </w:lvl>
    <w:lvl w:ilvl="7" w:tplc="04260019" w:tentative="1">
      <w:start w:val="1"/>
      <w:numFmt w:val="lowerLetter"/>
      <w:lvlText w:val="%8."/>
      <w:lvlJc w:val="left"/>
      <w:pPr>
        <w:tabs>
          <w:tab w:val="num" w:pos="6780"/>
        </w:tabs>
        <w:ind w:left="6780" w:hanging="360"/>
      </w:pPr>
    </w:lvl>
    <w:lvl w:ilvl="8" w:tplc="0426001B" w:tentative="1">
      <w:start w:val="1"/>
      <w:numFmt w:val="lowerRoman"/>
      <w:lvlText w:val="%9."/>
      <w:lvlJc w:val="right"/>
      <w:pPr>
        <w:tabs>
          <w:tab w:val="num" w:pos="7500"/>
        </w:tabs>
        <w:ind w:left="7500" w:hanging="180"/>
      </w:pPr>
    </w:lvl>
  </w:abstractNum>
  <w:abstractNum w:abstractNumId="1" w15:restartNumberingAfterBreak="0">
    <w:nsid w:val="03DE12F2"/>
    <w:multiLevelType w:val="hybridMultilevel"/>
    <w:tmpl w:val="F8E0529E"/>
    <w:lvl w:ilvl="0" w:tplc="0CD82C48">
      <w:start w:val="2"/>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DE54EA2"/>
    <w:multiLevelType w:val="hybridMultilevel"/>
    <w:tmpl w:val="5A10A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734544"/>
    <w:multiLevelType w:val="hybridMultilevel"/>
    <w:tmpl w:val="805479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864F79"/>
    <w:multiLevelType w:val="multilevel"/>
    <w:tmpl w:val="AC1678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CD00C98"/>
    <w:multiLevelType w:val="multilevel"/>
    <w:tmpl w:val="8B00EF44"/>
    <w:lvl w:ilvl="0">
      <w:start w:val="1"/>
      <w:numFmt w:val="decimal"/>
      <w:lvlText w:val="%1."/>
      <w:lvlJc w:val="left"/>
      <w:pPr>
        <w:tabs>
          <w:tab w:val="num" w:pos="525"/>
        </w:tabs>
        <w:ind w:left="525" w:hanging="525"/>
      </w:pPr>
      <w:rPr>
        <w:rFonts w:hint="default"/>
        <w:color w:val="000000"/>
      </w:rPr>
    </w:lvl>
    <w:lvl w:ilvl="1">
      <w:start w:val="1"/>
      <w:numFmt w:val="decimal"/>
      <w:lvlText w:val="%1.%2."/>
      <w:lvlJc w:val="left"/>
      <w:pPr>
        <w:tabs>
          <w:tab w:val="num" w:pos="525"/>
        </w:tabs>
        <w:ind w:left="525" w:hanging="525"/>
      </w:pPr>
      <w:rPr>
        <w:rFonts w:hint="default"/>
        <w:color w:val="00000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15:restartNumberingAfterBreak="0">
    <w:nsid w:val="1FA81AE1"/>
    <w:multiLevelType w:val="hybridMultilevel"/>
    <w:tmpl w:val="08282B0A"/>
    <w:lvl w:ilvl="0" w:tplc="7C5C319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D02202"/>
    <w:multiLevelType w:val="hybridMultilevel"/>
    <w:tmpl w:val="3C003AF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16789"/>
    <w:multiLevelType w:val="hybridMultilevel"/>
    <w:tmpl w:val="A81A9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9774AA"/>
    <w:multiLevelType w:val="hybridMultilevel"/>
    <w:tmpl w:val="5310DC68"/>
    <w:lvl w:ilvl="0" w:tplc="58E0F95E">
      <w:start w:val="20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E57D75"/>
    <w:multiLevelType w:val="multilevel"/>
    <w:tmpl w:val="0A2826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354979"/>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13" w15:restartNumberingAfterBreak="0">
    <w:nsid w:val="4A36431A"/>
    <w:multiLevelType w:val="multilevel"/>
    <w:tmpl w:val="D4D45742"/>
    <w:lvl w:ilvl="0">
      <w:start w:val="1"/>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4" w15:restartNumberingAfterBreak="0">
    <w:nsid w:val="4CBF0A6B"/>
    <w:multiLevelType w:val="hybridMultilevel"/>
    <w:tmpl w:val="EEACDEA2"/>
    <w:lvl w:ilvl="0" w:tplc="46B4C4D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0BE17BD"/>
    <w:multiLevelType w:val="hybridMultilevel"/>
    <w:tmpl w:val="44143758"/>
    <w:lvl w:ilvl="0" w:tplc="0426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A60905"/>
    <w:multiLevelType w:val="hybridMultilevel"/>
    <w:tmpl w:val="3C1ECC0E"/>
    <w:lvl w:ilvl="0" w:tplc="5BBA66D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6A3482B"/>
    <w:multiLevelType w:val="hybridMultilevel"/>
    <w:tmpl w:val="8556C8DE"/>
    <w:lvl w:ilvl="0" w:tplc="1D42F4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C0960D4"/>
    <w:multiLevelType w:val="multilevel"/>
    <w:tmpl w:val="86421FC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6C357462"/>
    <w:multiLevelType w:val="multilevel"/>
    <w:tmpl w:val="4558B2F0"/>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454"/>
        </w:tabs>
        <w:ind w:left="454" w:hanging="454"/>
      </w:pPr>
      <w:rPr>
        <w:rFonts w:hint="default"/>
        <w:color w:val="auto"/>
      </w:rPr>
    </w:lvl>
    <w:lvl w:ilvl="2">
      <w:start w:val="1"/>
      <w:numFmt w:val="decimal"/>
      <w:pStyle w:val="Stils3"/>
      <w:lvlText w:val="%1.%2.%3."/>
      <w:lvlJc w:val="left"/>
      <w:pPr>
        <w:tabs>
          <w:tab w:val="num" w:pos="2411"/>
        </w:tabs>
        <w:ind w:left="2411" w:hanging="567"/>
      </w:pPr>
      <w:rPr>
        <w:rFonts w:hint="default"/>
        <w:sz w:val="20"/>
        <w:szCs w:val="20"/>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EB01712"/>
    <w:multiLevelType w:val="hybridMultilevel"/>
    <w:tmpl w:val="E4CE703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740ACB"/>
    <w:multiLevelType w:val="hybridMultilevel"/>
    <w:tmpl w:val="CDCC94AE"/>
    <w:lvl w:ilvl="0" w:tplc="67EE99CC">
      <w:start w:val="11"/>
      <w:numFmt w:val="decimal"/>
      <w:lvlText w:val="%1)"/>
      <w:lvlJc w:val="left"/>
      <w:pPr>
        <w:tabs>
          <w:tab w:val="num" w:pos="1740"/>
        </w:tabs>
        <w:ind w:left="1740" w:hanging="480"/>
      </w:pPr>
      <w:rPr>
        <w:rFonts w:hint="default"/>
      </w:r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22" w15:restartNumberingAfterBreak="0">
    <w:nsid w:val="7ACC3523"/>
    <w:multiLevelType w:val="hybridMultilevel"/>
    <w:tmpl w:val="2BB6360C"/>
    <w:lvl w:ilvl="0" w:tplc="A53A14AA">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0"/>
  </w:num>
  <w:num w:numId="2">
    <w:abstractNumId w:val="13"/>
  </w:num>
  <w:num w:numId="3">
    <w:abstractNumId w:val="1"/>
  </w:num>
  <w:num w:numId="4">
    <w:abstractNumId w:val="10"/>
  </w:num>
  <w:num w:numId="5">
    <w:abstractNumId w:val="19"/>
  </w:num>
  <w:num w:numId="6">
    <w:abstractNumId w:val="4"/>
  </w:num>
  <w:num w:numId="7">
    <w:abstractNumId w:val="15"/>
  </w:num>
  <w:num w:numId="8">
    <w:abstractNumId w:val="11"/>
  </w:num>
  <w:num w:numId="9">
    <w:abstractNumId w:val="17"/>
  </w:num>
  <w:num w:numId="10">
    <w:abstractNumId w:val="22"/>
  </w:num>
  <w:num w:numId="11">
    <w:abstractNumId w:val="9"/>
  </w:num>
  <w:num w:numId="12">
    <w:abstractNumId w:val="18"/>
  </w:num>
  <w:num w:numId="13">
    <w:abstractNumId w:val="16"/>
  </w:num>
  <w:num w:numId="14">
    <w:abstractNumId w:val="7"/>
  </w:num>
  <w:num w:numId="15">
    <w:abstractNumId w:val="8"/>
  </w:num>
  <w:num w:numId="16">
    <w:abstractNumId w:val="2"/>
  </w:num>
  <w:num w:numId="17">
    <w:abstractNumId w:val="0"/>
  </w:num>
  <w:num w:numId="18">
    <w:abstractNumId w:val="12"/>
  </w:num>
  <w:num w:numId="19">
    <w:abstractNumId w:val="21"/>
  </w:num>
  <w:num w:numId="20">
    <w:abstractNumId w:val="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EF"/>
    <w:rsid w:val="000114A7"/>
    <w:rsid w:val="00014868"/>
    <w:rsid w:val="00020515"/>
    <w:rsid w:val="00021874"/>
    <w:rsid w:val="000328B0"/>
    <w:rsid w:val="00034F5D"/>
    <w:rsid w:val="00041B2B"/>
    <w:rsid w:val="0004284E"/>
    <w:rsid w:val="000523A5"/>
    <w:rsid w:val="000558B2"/>
    <w:rsid w:val="00064FBD"/>
    <w:rsid w:val="000663EF"/>
    <w:rsid w:val="00081C31"/>
    <w:rsid w:val="000842E4"/>
    <w:rsid w:val="0008468D"/>
    <w:rsid w:val="00084AED"/>
    <w:rsid w:val="00084F3E"/>
    <w:rsid w:val="00087E77"/>
    <w:rsid w:val="000913D9"/>
    <w:rsid w:val="00097A19"/>
    <w:rsid w:val="000A0822"/>
    <w:rsid w:val="000B300F"/>
    <w:rsid w:val="000B6A73"/>
    <w:rsid w:val="000C0C4D"/>
    <w:rsid w:val="000C2B2C"/>
    <w:rsid w:val="000D0810"/>
    <w:rsid w:val="000D0F89"/>
    <w:rsid w:val="000E2462"/>
    <w:rsid w:val="000E569C"/>
    <w:rsid w:val="000E7807"/>
    <w:rsid w:val="000F06DA"/>
    <w:rsid w:val="000F0978"/>
    <w:rsid w:val="000F1F95"/>
    <w:rsid w:val="00115CBE"/>
    <w:rsid w:val="00116705"/>
    <w:rsid w:val="00121951"/>
    <w:rsid w:val="00125335"/>
    <w:rsid w:val="00130163"/>
    <w:rsid w:val="00130828"/>
    <w:rsid w:val="0014049A"/>
    <w:rsid w:val="001545D1"/>
    <w:rsid w:val="00161993"/>
    <w:rsid w:val="00163A46"/>
    <w:rsid w:val="00164E8A"/>
    <w:rsid w:val="00167791"/>
    <w:rsid w:val="001718FE"/>
    <w:rsid w:val="00193C9D"/>
    <w:rsid w:val="001A38F4"/>
    <w:rsid w:val="001B3427"/>
    <w:rsid w:val="001B4248"/>
    <w:rsid w:val="001B77B8"/>
    <w:rsid w:val="001C03C0"/>
    <w:rsid w:val="001C0D4F"/>
    <w:rsid w:val="001C0DA5"/>
    <w:rsid w:val="001E3913"/>
    <w:rsid w:val="001E713F"/>
    <w:rsid w:val="001F64D3"/>
    <w:rsid w:val="00210769"/>
    <w:rsid w:val="002235B6"/>
    <w:rsid w:val="002265EB"/>
    <w:rsid w:val="002309C1"/>
    <w:rsid w:val="002317A0"/>
    <w:rsid w:val="002334AC"/>
    <w:rsid w:val="002374CD"/>
    <w:rsid w:val="002379B6"/>
    <w:rsid w:val="00243FD8"/>
    <w:rsid w:val="00244214"/>
    <w:rsid w:val="00245276"/>
    <w:rsid w:val="002470D4"/>
    <w:rsid w:val="00251254"/>
    <w:rsid w:val="00253D83"/>
    <w:rsid w:val="002615DC"/>
    <w:rsid w:val="00264661"/>
    <w:rsid w:val="002662D4"/>
    <w:rsid w:val="0028004B"/>
    <w:rsid w:val="002850B1"/>
    <w:rsid w:val="0028720F"/>
    <w:rsid w:val="00290206"/>
    <w:rsid w:val="002A0136"/>
    <w:rsid w:val="002A668C"/>
    <w:rsid w:val="002A6831"/>
    <w:rsid w:val="002A7643"/>
    <w:rsid w:val="002B0458"/>
    <w:rsid w:val="002C1672"/>
    <w:rsid w:val="002C49F8"/>
    <w:rsid w:val="002D3F08"/>
    <w:rsid w:val="002D5108"/>
    <w:rsid w:val="002D5A33"/>
    <w:rsid w:val="002E2528"/>
    <w:rsid w:val="002E337B"/>
    <w:rsid w:val="002E3F9C"/>
    <w:rsid w:val="002E422B"/>
    <w:rsid w:val="002E77E8"/>
    <w:rsid w:val="002F700C"/>
    <w:rsid w:val="003105C3"/>
    <w:rsid w:val="00321CDA"/>
    <w:rsid w:val="0032257A"/>
    <w:rsid w:val="00327537"/>
    <w:rsid w:val="00330365"/>
    <w:rsid w:val="0034543D"/>
    <w:rsid w:val="003536CD"/>
    <w:rsid w:val="00371102"/>
    <w:rsid w:val="003717CC"/>
    <w:rsid w:val="00375810"/>
    <w:rsid w:val="003765F9"/>
    <w:rsid w:val="003837AC"/>
    <w:rsid w:val="00384DBE"/>
    <w:rsid w:val="00387355"/>
    <w:rsid w:val="003A4B0D"/>
    <w:rsid w:val="003B3DB5"/>
    <w:rsid w:val="003B4DF0"/>
    <w:rsid w:val="003B6EF3"/>
    <w:rsid w:val="003C2B5A"/>
    <w:rsid w:val="003D103A"/>
    <w:rsid w:val="003D240D"/>
    <w:rsid w:val="003D4D67"/>
    <w:rsid w:val="003E255D"/>
    <w:rsid w:val="003E4F4B"/>
    <w:rsid w:val="003E5777"/>
    <w:rsid w:val="003E5C9C"/>
    <w:rsid w:val="003E5FF8"/>
    <w:rsid w:val="003F0C78"/>
    <w:rsid w:val="003F4066"/>
    <w:rsid w:val="00400192"/>
    <w:rsid w:val="00404900"/>
    <w:rsid w:val="00420AD3"/>
    <w:rsid w:val="004250EC"/>
    <w:rsid w:val="004256BB"/>
    <w:rsid w:val="00437DE1"/>
    <w:rsid w:val="0044194C"/>
    <w:rsid w:val="00452781"/>
    <w:rsid w:val="0046426B"/>
    <w:rsid w:val="00467EEF"/>
    <w:rsid w:val="00476A3D"/>
    <w:rsid w:val="004902B2"/>
    <w:rsid w:val="00491F64"/>
    <w:rsid w:val="004A4887"/>
    <w:rsid w:val="004A4C6F"/>
    <w:rsid w:val="004B0F0F"/>
    <w:rsid w:val="004B2F5A"/>
    <w:rsid w:val="004C0061"/>
    <w:rsid w:val="004C5A27"/>
    <w:rsid w:val="004F1EFC"/>
    <w:rsid w:val="004F74BC"/>
    <w:rsid w:val="00503669"/>
    <w:rsid w:val="005170B3"/>
    <w:rsid w:val="00520DAC"/>
    <w:rsid w:val="00523F52"/>
    <w:rsid w:val="00524A79"/>
    <w:rsid w:val="00526132"/>
    <w:rsid w:val="00543B8B"/>
    <w:rsid w:val="00563D8A"/>
    <w:rsid w:val="00571808"/>
    <w:rsid w:val="00576643"/>
    <w:rsid w:val="005834F3"/>
    <w:rsid w:val="00591D97"/>
    <w:rsid w:val="00593062"/>
    <w:rsid w:val="0059729E"/>
    <w:rsid w:val="005A583F"/>
    <w:rsid w:val="005A689B"/>
    <w:rsid w:val="005C1A82"/>
    <w:rsid w:val="005C284C"/>
    <w:rsid w:val="005C2C17"/>
    <w:rsid w:val="005D0639"/>
    <w:rsid w:val="005D732E"/>
    <w:rsid w:val="005E08A6"/>
    <w:rsid w:val="005F3218"/>
    <w:rsid w:val="005F3575"/>
    <w:rsid w:val="005F43C4"/>
    <w:rsid w:val="00600EDD"/>
    <w:rsid w:val="006104CF"/>
    <w:rsid w:val="0061561A"/>
    <w:rsid w:val="00622977"/>
    <w:rsid w:val="006300FB"/>
    <w:rsid w:val="00655572"/>
    <w:rsid w:val="00657C74"/>
    <w:rsid w:val="00660848"/>
    <w:rsid w:val="006630E3"/>
    <w:rsid w:val="00664785"/>
    <w:rsid w:val="006708B3"/>
    <w:rsid w:val="0067443A"/>
    <w:rsid w:val="0069285B"/>
    <w:rsid w:val="006A1F2B"/>
    <w:rsid w:val="006A2392"/>
    <w:rsid w:val="006A2615"/>
    <w:rsid w:val="006A5675"/>
    <w:rsid w:val="006B099F"/>
    <w:rsid w:val="006B3700"/>
    <w:rsid w:val="006B576D"/>
    <w:rsid w:val="006B593C"/>
    <w:rsid w:val="006B74FA"/>
    <w:rsid w:val="006B766D"/>
    <w:rsid w:val="006C028E"/>
    <w:rsid w:val="006C3C6A"/>
    <w:rsid w:val="006C6F80"/>
    <w:rsid w:val="006D1432"/>
    <w:rsid w:val="006D36B4"/>
    <w:rsid w:val="006D6D8A"/>
    <w:rsid w:val="006F4E00"/>
    <w:rsid w:val="00701432"/>
    <w:rsid w:val="00716B24"/>
    <w:rsid w:val="00730F30"/>
    <w:rsid w:val="00732733"/>
    <w:rsid w:val="007374FE"/>
    <w:rsid w:val="007438DD"/>
    <w:rsid w:val="00746747"/>
    <w:rsid w:val="0075219C"/>
    <w:rsid w:val="007627CC"/>
    <w:rsid w:val="00764759"/>
    <w:rsid w:val="0077450B"/>
    <w:rsid w:val="00780B9D"/>
    <w:rsid w:val="00794632"/>
    <w:rsid w:val="007C1A4B"/>
    <w:rsid w:val="007D1194"/>
    <w:rsid w:val="007D2145"/>
    <w:rsid w:val="007D7971"/>
    <w:rsid w:val="007D79DE"/>
    <w:rsid w:val="007F5406"/>
    <w:rsid w:val="008015B2"/>
    <w:rsid w:val="0080306C"/>
    <w:rsid w:val="00805F7D"/>
    <w:rsid w:val="008127BD"/>
    <w:rsid w:val="008133C5"/>
    <w:rsid w:val="008271B6"/>
    <w:rsid w:val="00832F2A"/>
    <w:rsid w:val="008330FC"/>
    <w:rsid w:val="008549FF"/>
    <w:rsid w:val="008716F2"/>
    <w:rsid w:val="008770A9"/>
    <w:rsid w:val="00881EB9"/>
    <w:rsid w:val="00883563"/>
    <w:rsid w:val="008875E9"/>
    <w:rsid w:val="00892DB0"/>
    <w:rsid w:val="008B0B31"/>
    <w:rsid w:val="008B107E"/>
    <w:rsid w:val="008C0364"/>
    <w:rsid w:val="008C15DB"/>
    <w:rsid w:val="008E0035"/>
    <w:rsid w:val="008E5E06"/>
    <w:rsid w:val="008E7211"/>
    <w:rsid w:val="008F0D8A"/>
    <w:rsid w:val="008F3F5E"/>
    <w:rsid w:val="008F5049"/>
    <w:rsid w:val="008F64D4"/>
    <w:rsid w:val="008F65B1"/>
    <w:rsid w:val="00900206"/>
    <w:rsid w:val="00911439"/>
    <w:rsid w:val="00916A85"/>
    <w:rsid w:val="00923131"/>
    <w:rsid w:val="009238DC"/>
    <w:rsid w:val="00924A95"/>
    <w:rsid w:val="00931015"/>
    <w:rsid w:val="00931D7C"/>
    <w:rsid w:val="00941EC5"/>
    <w:rsid w:val="00947B13"/>
    <w:rsid w:val="0095637C"/>
    <w:rsid w:val="009651C3"/>
    <w:rsid w:val="009736D0"/>
    <w:rsid w:val="009737EA"/>
    <w:rsid w:val="00980582"/>
    <w:rsid w:val="009824B3"/>
    <w:rsid w:val="00982720"/>
    <w:rsid w:val="009827AF"/>
    <w:rsid w:val="00983C5A"/>
    <w:rsid w:val="009869F5"/>
    <w:rsid w:val="009A285A"/>
    <w:rsid w:val="009B3014"/>
    <w:rsid w:val="009E0A18"/>
    <w:rsid w:val="009E459A"/>
    <w:rsid w:val="009E63E7"/>
    <w:rsid w:val="009E73F1"/>
    <w:rsid w:val="009F1945"/>
    <w:rsid w:val="009F5D5D"/>
    <w:rsid w:val="00A033B8"/>
    <w:rsid w:val="00A042EC"/>
    <w:rsid w:val="00A15EFE"/>
    <w:rsid w:val="00A17DE0"/>
    <w:rsid w:val="00A343DC"/>
    <w:rsid w:val="00A435AA"/>
    <w:rsid w:val="00A44BC8"/>
    <w:rsid w:val="00A61325"/>
    <w:rsid w:val="00A71D53"/>
    <w:rsid w:val="00A739D0"/>
    <w:rsid w:val="00A81059"/>
    <w:rsid w:val="00A84619"/>
    <w:rsid w:val="00A93B4F"/>
    <w:rsid w:val="00A94449"/>
    <w:rsid w:val="00A97B35"/>
    <w:rsid w:val="00AA12DA"/>
    <w:rsid w:val="00AA276C"/>
    <w:rsid w:val="00AA7CF3"/>
    <w:rsid w:val="00AB2F93"/>
    <w:rsid w:val="00AB4510"/>
    <w:rsid w:val="00AB4E9B"/>
    <w:rsid w:val="00AB7994"/>
    <w:rsid w:val="00AC4FA4"/>
    <w:rsid w:val="00AC619B"/>
    <w:rsid w:val="00AD55E3"/>
    <w:rsid w:val="00AD78D5"/>
    <w:rsid w:val="00AE3EC2"/>
    <w:rsid w:val="00AF0D64"/>
    <w:rsid w:val="00AF4E5D"/>
    <w:rsid w:val="00AF5C41"/>
    <w:rsid w:val="00B16353"/>
    <w:rsid w:val="00B204DC"/>
    <w:rsid w:val="00B231B8"/>
    <w:rsid w:val="00B26DEE"/>
    <w:rsid w:val="00B32123"/>
    <w:rsid w:val="00B37847"/>
    <w:rsid w:val="00B37CA2"/>
    <w:rsid w:val="00B4152A"/>
    <w:rsid w:val="00B45993"/>
    <w:rsid w:val="00B56D5F"/>
    <w:rsid w:val="00B626E5"/>
    <w:rsid w:val="00B64575"/>
    <w:rsid w:val="00B67DA4"/>
    <w:rsid w:val="00B85A54"/>
    <w:rsid w:val="00B91FAB"/>
    <w:rsid w:val="00BA473A"/>
    <w:rsid w:val="00BA7983"/>
    <w:rsid w:val="00BB537D"/>
    <w:rsid w:val="00BC1EB6"/>
    <w:rsid w:val="00BD5120"/>
    <w:rsid w:val="00BD74B2"/>
    <w:rsid w:val="00BE43D6"/>
    <w:rsid w:val="00BF0990"/>
    <w:rsid w:val="00BF6DF4"/>
    <w:rsid w:val="00C0187D"/>
    <w:rsid w:val="00C047E6"/>
    <w:rsid w:val="00C050B2"/>
    <w:rsid w:val="00C167C8"/>
    <w:rsid w:val="00C2054C"/>
    <w:rsid w:val="00C206AB"/>
    <w:rsid w:val="00C33453"/>
    <w:rsid w:val="00C66373"/>
    <w:rsid w:val="00C70412"/>
    <w:rsid w:val="00C70C45"/>
    <w:rsid w:val="00C73F45"/>
    <w:rsid w:val="00C75A00"/>
    <w:rsid w:val="00C7783E"/>
    <w:rsid w:val="00C802FD"/>
    <w:rsid w:val="00C82D4F"/>
    <w:rsid w:val="00C830F9"/>
    <w:rsid w:val="00C84ED3"/>
    <w:rsid w:val="00CA0E62"/>
    <w:rsid w:val="00CA1109"/>
    <w:rsid w:val="00CA1560"/>
    <w:rsid w:val="00CA3D65"/>
    <w:rsid w:val="00CA54DB"/>
    <w:rsid w:val="00CA618B"/>
    <w:rsid w:val="00CB016D"/>
    <w:rsid w:val="00CB0335"/>
    <w:rsid w:val="00CC1E2F"/>
    <w:rsid w:val="00CC2EBB"/>
    <w:rsid w:val="00CC7CA7"/>
    <w:rsid w:val="00CE213A"/>
    <w:rsid w:val="00D01ACA"/>
    <w:rsid w:val="00D0776C"/>
    <w:rsid w:val="00D1270E"/>
    <w:rsid w:val="00D17996"/>
    <w:rsid w:val="00D222A7"/>
    <w:rsid w:val="00D23257"/>
    <w:rsid w:val="00D2328C"/>
    <w:rsid w:val="00D258FC"/>
    <w:rsid w:val="00D33740"/>
    <w:rsid w:val="00D40239"/>
    <w:rsid w:val="00D42804"/>
    <w:rsid w:val="00D47DD1"/>
    <w:rsid w:val="00D55EA3"/>
    <w:rsid w:val="00D572DE"/>
    <w:rsid w:val="00D72C6B"/>
    <w:rsid w:val="00D760A6"/>
    <w:rsid w:val="00D822F4"/>
    <w:rsid w:val="00DA694F"/>
    <w:rsid w:val="00DB37D1"/>
    <w:rsid w:val="00DB4D40"/>
    <w:rsid w:val="00DB730A"/>
    <w:rsid w:val="00DC319F"/>
    <w:rsid w:val="00DC4CB8"/>
    <w:rsid w:val="00DC56BA"/>
    <w:rsid w:val="00DC5FB4"/>
    <w:rsid w:val="00DD7E91"/>
    <w:rsid w:val="00DE5B83"/>
    <w:rsid w:val="00DF0FB4"/>
    <w:rsid w:val="00E05218"/>
    <w:rsid w:val="00E07876"/>
    <w:rsid w:val="00E160A8"/>
    <w:rsid w:val="00E20EF4"/>
    <w:rsid w:val="00E22D2F"/>
    <w:rsid w:val="00E26BA9"/>
    <w:rsid w:val="00E306D8"/>
    <w:rsid w:val="00E30FB4"/>
    <w:rsid w:val="00E37E1C"/>
    <w:rsid w:val="00E62650"/>
    <w:rsid w:val="00E6780A"/>
    <w:rsid w:val="00E67B70"/>
    <w:rsid w:val="00E737B8"/>
    <w:rsid w:val="00E74610"/>
    <w:rsid w:val="00E75215"/>
    <w:rsid w:val="00E76339"/>
    <w:rsid w:val="00E81746"/>
    <w:rsid w:val="00E81E68"/>
    <w:rsid w:val="00E832A5"/>
    <w:rsid w:val="00E83FE0"/>
    <w:rsid w:val="00E87485"/>
    <w:rsid w:val="00E95121"/>
    <w:rsid w:val="00EC65CA"/>
    <w:rsid w:val="00ED30D8"/>
    <w:rsid w:val="00ED741F"/>
    <w:rsid w:val="00EF6B01"/>
    <w:rsid w:val="00F0374D"/>
    <w:rsid w:val="00F12577"/>
    <w:rsid w:val="00F164C7"/>
    <w:rsid w:val="00F16C08"/>
    <w:rsid w:val="00F21136"/>
    <w:rsid w:val="00F32E38"/>
    <w:rsid w:val="00F509B4"/>
    <w:rsid w:val="00F53326"/>
    <w:rsid w:val="00F556CF"/>
    <w:rsid w:val="00F5762A"/>
    <w:rsid w:val="00F64CCD"/>
    <w:rsid w:val="00F65FC4"/>
    <w:rsid w:val="00F6710C"/>
    <w:rsid w:val="00F67784"/>
    <w:rsid w:val="00F75319"/>
    <w:rsid w:val="00F75E18"/>
    <w:rsid w:val="00F818A9"/>
    <w:rsid w:val="00F8329B"/>
    <w:rsid w:val="00F874DD"/>
    <w:rsid w:val="00F937D8"/>
    <w:rsid w:val="00F93CAE"/>
    <w:rsid w:val="00FA66CB"/>
    <w:rsid w:val="00FC1FA3"/>
    <w:rsid w:val="00FC445D"/>
    <w:rsid w:val="00FD2467"/>
    <w:rsid w:val="00FD44C6"/>
    <w:rsid w:val="00FD591D"/>
    <w:rsid w:val="00FD774B"/>
    <w:rsid w:val="00FE31EE"/>
    <w:rsid w:val="00FF2A03"/>
    <w:rsid w:val="00FF42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EA2B"/>
  <w15:docId w15:val="{12A66D11-3D48-4BBE-B75F-B4619239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67EEF"/>
    <w:pPr>
      <w:keepNext/>
      <w:jc w:val="center"/>
      <w:outlineLvl w:val="0"/>
    </w:pPr>
    <w:rPr>
      <w:sz w:val="28"/>
      <w:szCs w:val="20"/>
      <w:lang w:val="lv-LV"/>
    </w:rPr>
  </w:style>
  <w:style w:type="paragraph" w:styleId="Heading3">
    <w:name w:val="heading 3"/>
    <w:basedOn w:val="Normal"/>
    <w:next w:val="Normal"/>
    <w:link w:val="Heading3Char"/>
    <w:unhideWhenUsed/>
    <w:qFormat/>
    <w:rsid w:val="00467EEF"/>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unhideWhenUsed/>
    <w:qFormat/>
    <w:rsid w:val="00467EE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EEF"/>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67EEF"/>
    <w:rPr>
      <w:rFonts w:asciiTheme="majorHAnsi" w:eastAsiaTheme="majorEastAsia" w:hAnsiTheme="majorHAnsi" w:cstheme="majorBidi"/>
      <w:b/>
      <w:bCs/>
      <w:color w:val="4F81BD" w:themeColor="accent1"/>
      <w:sz w:val="24"/>
      <w:szCs w:val="24"/>
      <w:lang w:val="en-GB"/>
    </w:rPr>
  </w:style>
  <w:style w:type="character" w:customStyle="1" w:styleId="Heading9Char">
    <w:name w:val="Heading 9 Char"/>
    <w:basedOn w:val="DefaultParagraphFont"/>
    <w:link w:val="Heading9"/>
    <w:rsid w:val="00467EEF"/>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rsid w:val="00467EEF"/>
    <w:pPr>
      <w:ind w:firstLine="540"/>
    </w:pPr>
    <w:rPr>
      <w:rFonts w:ascii="Arial" w:hAnsi="Arial" w:cs="Arial"/>
      <w:sz w:val="22"/>
      <w:lang w:val="lv-LV"/>
    </w:rPr>
  </w:style>
  <w:style w:type="character" w:customStyle="1" w:styleId="BodyTextIndentChar">
    <w:name w:val="Body Text Indent Char"/>
    <w:basedOn w:val="DefaultParagraphFont"/>
    <w:link w:val="BodyTextIndent"/>
    <w:rsid w:val="00467EEF"/>
    <w:rPr>
      <w:rFonts w:ascii="Arial" w:eastAsia="Times New Roman" w:hAnsi="Arial" w:cs="Arial"/>
      <w:szCs w:val="24"/>
    </w:rPr>
  </w:style>
  <w:style w:type="paragraph" w:styleId="NormalWeb">
    <w:name w:val="Normal (Web)"/>
    <w:basedOn w:val="Normal"/>
    <w:uiPriority w:val="99"/>
    <w:rsid w:val="00467EEF"/>
    <w:rPr>
      <w:lang w:val="lv-LV" w:eastAsia="lv-LV"/>
    </w:rPr>
  </w:style>
  <w:style w:type="character" w:styleId="Hyperlink">
    <w:name w:val="Hyperlink"/>
    <w:basedOn w:val="DefaultParagraphFont"/>
    <w:rsid w:val="00467EEF"/>
    <w:rPr>
      <w:color w:val="0000FF"/>
      <w:u w:val="single"/>
    </w:rPr>
  </w:style>
  <w:style w:type="paragraph" w:styleId="ListParagraph">
    <w:name w:val="List Paragraph"/>
    <w:basedOn w:val="Normal"/>
    <w:uiPriority w:val="34"/>
    <w:qFormat/>
    <w:rsid w:val="00467EEF"/>
    <w:pPr>
      <w:ind w:left="720"/>
      <w:contextualSpacing/>
    </w:pPr>
  </w:style>
  <w:style w:type="paragraph" w:customStyle="1" w:styleId="naisf">
    <w:name w:val="naisf"/>
    <w:basedOn w:val="Normal"/>
    <w:uiPriority w:val="99"/>
    <w:rsid w:val="00467EEF"/>
    <w:pPr>
      <w:spacing w:before="100" w:beforeAutospacing="1" w:after="100" w:afterAutospacing="1"/>
      <w:jc w:val="both"/>
    </w:pPr>
  </w:style>
  <w:style w:type="paragraph" w:customStyle="1" w:styleId="Stils1">
    <w:name w:val="Stils1"/>
    <w:basedOn w:val="Normal"/>
    <w:rsid w:val="00467EEF"/>
    <w:pPr>
      <w:numPr>
        <w:numId w:val="5"/>
      </w:numPr>
      <w:jc w:val="both"/>
    </w:pPr>
    <w:rPr>
      <w:b/>
      <w:i/>
      <w:color w:val="000000"/>
      <w:sz w:val="20"/>
      <w:szCs w:val="20"/>
      <w:lang w:val="lv-LV" w:eastAsia="lv-LV" w:bidi="lo-LA"/>
    </w:rPr>
  </w:style>
  <w:style w:type="paragraph" w:customStyle="1" w:styleId="Stils2">
    <w:name w:val="Stils2"/>
    <w:basedOn w:val="Normal"/>
    <w:rsid w:val="00467EEF"/>
    <w:pPr>
      <w:numPr>
        <w:ilvl w:val="1"/>
        <w:numId w:val="5"/>
      </w:numPr>
      <w:jc w:val="both"/>
    </w:pPr>
    <w:rPr>
      <w:color w:val="000000"/>
      <w:sz w:val="20"/>
      <w:szCs w:val="20"/>
      <w:lang w:val="lv-LV" w:eastAsia="lv-LV" w:bidi="lo-LA"/>
    </w:rPr>
  </w:style>
  <w:style w:type="paragraph" w:customStyle="1" w:styleId="Stils3">
    <w:name w:val="Stils3"/>
    <w:basedOn w:val="Normal"/>
    <w:rsid w:val="00467EEF"/>
    <w:pPr>
      <w:numPr>
        <w:ilvl w:val="2"/>
        <w:numId w:val="5"/>
      </w:numPr>
      <w:jc w:val="both"/>
    </w:pPr>
    <w:rPr>
      <w:sz w:val="20"/>
      <w:szCs w:val="20"/>
      <w:lang w:val="lv-LV" w:eastAsia="lv-LV" w:bidi="lo-LA"/>
    </w:rPr>
  </w:style>
  <w:style w:type="paragraph" w:customStyle="1" w:styleId="Stils4">
    <w:name w:val="Stils4"/>
    <w:basedOn w:val="Normal"/>
    <w:rsid w:val="00467EEF"/>
    <w:pPr>
      <w:numPr>
        <w:ilvl w:val="3"/>
        <w:numId w:val="5"/>
      </w:numPr>
      <w:jc w:val="both"/>
    </w:pPr>
    <w:rPr>
      <w:sz w:val="20"/>
      <w:szCs w:val="20"/>
      <w:lang w:val="lv-LV" w:eastAsia="lv-LV" w:bidi="lo-LA"/>
    </w:rPr>
  </w:style>
  <w:style w:type="table" w:styleId="TableGrid">
    <w:name w:val="Table Grid"/>
    <w:basedOn w:val="TableNormal"/>
    <w:uiPriority w:val="59"/>
    <w:rsid w:val="00A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EC5"/>
    <w:pPr>
      <w:tabs>
        <w:tab w:val="center" w:pos="4153"/>
        <w:tab w:val="right" w:pos="8306"/>
      </w:tabs>
    </w:pPr>
  </w:style>
  <w:style w:type="character" w:customStyle="1" w:styleId="HeaderChar">
    <w:name w:val="Header Char"/>
    <w:basedOn w:val="DefaultParagraphFont"/>
    <w:link w:val="Header"/>
    <w:uiPriority w:val="99"/>
    <w:rsid w:val="00941EC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41EC5"/>
    <w:pPr>
      <w:tabs>
        <w:tab w:val="center" w:pos="4153"/>
        <w:tab w:val="right" w:pos="8306"/>
      </w:tabs>
    </w:pPr>
  </w:style>
  <w:style w:type="character" w:customStyle="1" w:styleId="FooterChar">
    <w:name w:val="Footer Char"/>
    <w:basedOn w:val="DefaultParagraphFont"/>
    <w:link w:val="Footer"/>
    <w:uiPriority w:val="99"/>
    <w:rsid w:val="00941EC5"/>
    <w:rPr>
      <w:rFonts w:ascii="Times New Roman" w:eastAsia="Times New Roman" w:hAnsi="Times New Roman" w:cs="Times New Roman"/>
      <w:sz w:val="24"/>
      <w:szCs w:val="24"/>
      <w:lang w:val="en-GB"/>
    </w:rPr>
  </w:style>
  <w:style w:type="paragraph" w:customStyle="1" w:styleId="tv213">
    <w:name w:val="tv213"/>
    <w:basedOn w:val="Normal"/>
    <w:rsid w:val="009869F5"/>
    <w:pPr>
      <w:spacing w:before="100" w:beforeAutospacing="1" w:after="100" w:afterAutospacing="1"/>
    </w:pPr>
    <w:rPr>
      <w:lang w:val="lv-LV" w:eastAsia="lv-LV"/>
    </w:rPr>
  </w:style>
  <w:style w:type="character" w:customStyle="1" w:styleId="apple-converted-space">
    <w:name w:val="apple-converted-space"/>
    <w:basedOn w:val="DefaultParagraphFont"/>
    <w:rsid w:val="009869F5"/>
  </w:style>
  <w:style w:type="paragraph" w:styleId="BodyText">
    <w:name w:val="Body Text"/>
    <w:basedOn w:val="Normal"/>
    <w:link w:val="BodyTextChar"/>
    <w:uiPriority w:val="99"/>
    <w:unhideWhenUsed/>
    <w:rsid w:val="00210769"/>
    <w:pPr>
      <w:spacing w:after="120"/>
    </w:pPr>
  </w:style>
  <w:style w:type="character" w:customStyle="1" w:styleId="BodyTextChar">
    <w:name w:val="Body Text Char"/>
    <w:basedOn w:val="DefaultParagraphFont"/>
    <w:link w:val="BodyText"/>
    <w:uiPriority w:val="99"/>
    <w:rsid w:val="0021076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824B3"/>
    <w:rPr>
      <w:rFonts w:ascii="Tahoma" w:hAnsi="Tahoma" w:cs="Tahoma"/>
      <w:sz w:val="16"/>
      <w:szCs w:val="16"/>
    </w:rPr>
  </w:style>
  <w:style w:type="character" w:customStyle="1" w:styleId="BalloonTextChar">
    <w:name w:val="Balloon Text Char"/>
    <w:basedOn w:val="DefaultParagraphFont"/>
    <w:link w:val="BalloonText"/>
    <w:uiPriority w:val="99"/>
    <w:semiHidden/>
    <w:rsid w:val="009824B3"/>
    <w:rPr>
      <w:rFonts w:ascii="Tahoma" w:eastAsia="Times New Roman" w:hAnsi="Tahoma" w:cs="Tahoma"/>
      <w:sz w:val="16"/>
      <w:szCs w:val="16"/>
      <w:lang w:val="en-GB"/>
    </w:rPr>
  </w:style>
  <w:style w:type="paragraph" w:customStyle="1" w:styleId="TableContents">
    <w:name w:val="Table Contents"/>
    <w:basedOn w:val="Normal"/>
    <w:rsid w:val="00526132"/>
    <w:pPr>
      <w:widowControl w:val="0"/>
      <w:suppressLineNumbers/>
      <w:suppressAutoHyphens/>
    </w:pPr>
    <w:rPr>
      <w:rFonts w:eastAsia="Arial Unicode MS" w:cs="Arial Unicode MS"/>
      <w:kern w:val="2"/>
      <w:lang w:val="lv-LV" w:eastAsia="hi-IN" w:bidi="hi-IN"/>
    </w:rPr>
  </w:style>
  <w:style w:type="paragraph" w:styleId="BodyText3">
    <w:name w:val="Body Text 3"/>
    <w:basedOn w:val="Normal"/>
    <w:link w:val="BodyText3Char"/>
    <w:uiPriority w:val="99"/>
    <w:unhideWhenUsed/>
    <w:rsid w:val="00526132"/>
    <w:pPr>
      <w:spacing w:after="120"/>
    </w:pPr>
    <w:rPr>
      <w:sz w:val="16"/>
      <w:szCs w:val="16"/>
    </w:rPr>
  </w:style>
  <w:style w:type="character" w:customStyle="1" w:styleId="BodyText3Char">
    <w:name w:val="Body Text 3 Char"/>
    <w:basedOn w:val="DefaultParagraphFont"/>
    <w:link w:val="BodyText3"/>
    <w:uiPriority w:val="99"/>
    <w:rsid w:val="00526132"/>
    <w:rPr>
      <w:rFonts w:ascii="Times New Roman" w:eastAsia="Times New Roman" w:hAnsi="Times New Roman" w:cs="Times New Roman"/>
      <w:sz w:val="16"/>
      <w:szCs w:val="16"/>
      <w:lang w:val="en-GB"/>
    </w:rPr>
  </w:style>
  <w:style w:type="paragraph" w:customStyle="1" w:styleId="Standard">
    <w:name w:val="Standard"/>
    <w:rsid w:val="00E37E1C"/>
    <w:pPr>
      <w:suppressAutoHyphens/>
      <w:autoSpaceDN w:val="0"/>
      <w:spacing w:after="0" w:line="240" w:lineRule="auto"/>
    </w:pPr>
    <w:rPr>
      <w:rFonts w:ascii="Times New Roman" w:eastAsia="Calibri" w:hAnsi="Times New Roman" w:cs="Times New Roman"/>
      <w:kern w:val="3"/>
      <w:sz w:val="24"/>
      <w:szCs w:val="24"/>
      <w:lang w:val="en-GB" w:eastAsia="ar-SA"/>
    </w:rPr>
  </w:style>
  <w:style w:type="paragraph" w:customStyle="1" w:styleId="a">
    <w:name w:val="Содержимое таблицы"/>
    <w:basedOn w:val="Normal"/>
    <w:rsid w:val="00E37E1C"/>
    <w:pPr>
      <w:suppressLineNumbers/>
      <w:suppressAutoHyphens/>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09">
      <w:bodyDiv w:val="1"/>
      <w:marLeft w:val="0"/>
      <w:marRight w:val="0"/>
      <w:marTop w:val="0"/>
      <w:marBottom w:val="0"/>
      <w:divBdr>
        <w:top w:val="none" w:sz="0" w:space="0" w:color="auto"/>
        <w:left w:val="none" w:sz="0" w:space="0" w:color="auto"/>
        <w:bottom w:val="none" w:sz="0" w:space="0" w:color="auto"/>
        <w:right w:val="none" w:sz="0" w:space="0" w:color="auto"/>
      </w:divBdr>
    </w:div>
    <w:div w:id="16669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r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ini@oper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eks.auzins@opera.lv" TargetMode="External"/><Relationship Id="rId4" Type="http://schemas.openxmlformats.org/officeDocument/2006/relationships/settings" Target="settings.xml"/><Relationship Id="rId9" Type="http://schemas.openxmlformats.org/officeDocument/2006/relationships/hyperlink" Target="mailto:dace.peltmane@oper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65008-CC21-4A71-AEBB-A6A50EA4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2890</Words>
  <Characters>16478</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Latvian National Opera</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inga.masnikova</dc:creator>
  <cp:keywords/>
  <dc:description/>
  <cp:lastModifiedBy>Dace Peltmane</cp:lastModifiedBy>
  <cp:revision>4</cp:revision>
  <cp:lastPrinted>2018-08-24T06:53:00Z</cp:lastPrinted>
  <dcterms:created xsi:type="dcterms:W3CDTF">2018-09-07T06:19:00Z</dcterms:created>
  <dcterms:modified xsi:type="dcterms:W3CDTF">2018-09-07T11:56:00Z</dcterms:modified>
</cp:coreProperties>
</file>